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806DE31" w14:textId="541AC653" w:rsidR="00F55C93" w:rsidRDefault="00495F41" w:rsidP="000F22FE">
      <w:pPr>
        <w:spacing w:after="0" w:line="276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SPECYFIKACJA TECHNICZNA</w:t>
      </w:r>
    </w:p>
    <w:p w14:paraId="4A86E234" w14:textId="77777777" w:rsidR="00AF6732" w:rsidRDefault="00AF6732" w:rsidP="000F22FE">
      <w:pPr>
        <w:spacing w:after="0" w:line="276" w:lineRule="auto"/>
        <w:jc w:val="center"/>
        <w:rPr>
          <w:b/>
          <w:bCs/>
          <w:sz w:val="40"/>
          <w:szCs w:val="40"/>
        </w:rPr>
      </w:pPr>
    </w:p>
    <w:p w14:paraId="33A0CE04" w14:textId="77777777" w:rsidR="00AF6732" w:rsidRDefault="00AF6732" w:rsidP="000F22FE">
      <w:pPr>
        <w:spacing w:after="0" w:line="276" w:lineRule="auto"/>
        <w:jc w:val="center"/>
        <w:rPr>
          <w:b/>
          <w:bCs/>
          <w:sz w:val="40"/>
          <w:szCs w:val="40"/>
        </w:rPr>
      </w:pPr>
    </w:p>
    <w:p w14:paraId="3B0C4339" w14:textId="77777777" w:rsidR="00AF6732" w:rsidRDefault="00AF6732" w:rsidP="000F22FE">
      <w:pPr>
        <w:spacing w:after="0" w:line="276" w:lineRule="auto"/>
        <w:jc w:val="center"/>
      </w:pPr>
    </w:p>
    <w:p w14:paraId="607BBE64" w14:textId="24EFC45C" w:rsidR="00AF6732" w:rsidRDefault="00B748BD" w:rsidP="00AF6732">
      <w:pPr>
        <w:pStyle w:val="Tekstpodstawowy21"/>
        <w:rPr>
          <w:noProof/>
          <w:color w:val="0000FF"/>
          <w:lang w:eastAsia="pl-PL"/>
        </w:rPr>
      </w:pPr>
      <w:r>
        <w:rPr>
          <w:noProof/>
          <w:color w:val="0000FF"/>
          <w:lang w:eastAsia="pl-PL"/>
        </w:rPr>
        <w:drawing>
          <wp:inline distT="0" distB="0" distL="0" distR="0" wp14:anchorId="4F714DEA" wp14:editId="7FA1BA5A">
            <wp:extent cx="1619250" cy="2343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3F69F" w14:textId="77777777" w:rsidR="00F55C93" w:rsidRDefault="00F55C93" w:rsidP="00AB7094">
      <w:pPr>
        <w:spacing w:after="0" w:line="276" w:lineRule="auto"/>
        <w:jc w:val="center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2"/>
      </w:tblGrid>
      <w:tr w:rsidR="00F55C93" w14:paraId="012DB82C" w14:textId="77777777">
        <w:tc>
          <w:tcPr>
            <w:tcW w:w="90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858E1A3" w14:textId="77777777" w:rsidR="00F55C93" w:rsidRDefault="00F55C93" w:rsidP="0074543E">
            <w:pPr>
              <w:spacing w:after="0"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Nazwa Zamówienia: </w:t>
            </w:r>
          </w:p>
          <w:p w14:paraId="04D52D0B" w14:textId="07D7A565" w:rsidR="00F55C93" w:rsidRDefault="00AB7094" w:rsidP="00AF6732">
            <w:pPr>
              <w:pStyle w:val="Tekstpodstawowy"/>
              <w:spacing w:after="0" w:line="276" w:lineRule="auto"/>
              <w:jc w:val="both"/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Wykonanie modernizacji oświetlenia na terenie Gminy </w:t>
            </w:r>
            <w:r w:rsidR="00AF6732">
              <w:rPr>
                <w:b/>
                <w:bCs/>
                <w:i/>
                <w:iCs/>
                <w:sz w:val="28"/>
                <w:szCs w:val="28"/>
              </w:rPr>
              <w:t>Węgliniec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w</w:t>
            </w:r>
            <w:r w:rsidR="00F13CBF">
              <w:rPr>
                <w:b/>
                <w:bCs/>
                <w:i/>
                <w:iCs/>
                <w:sz w:val="28"/>
                <w:szCs w:val="28"/>
              </w:rPr>
              <w:t xml:space="preserve"> ramach programu „Rozświetlamy Polskę”</w:t>
            </w:r>
          </w:p>
        </w:tc>
      </w:tr>
      <w:tr w:rsidR="00F55C93" w14:paraId="41A77292" w14:textId="77777777">
        <w:tc>
          <w:tcPr>
            <w:tcW w:w="9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1FF13CD" w14:textId="50A58519" w:rsidR="00F55C93" w:rsidRDefault="00F55C93" w:rsidP="00AF6732">
            <w:pPr>
              <w:spacing w:after="0" w:line="276" w:lineRule="auto"/>
              <w:jc w:val="both"/>
            </w:pPr>
            <w:r>
              <w:rPr>
                <w:sz w:val="26"/>
                <w:szCs w:val="26"/>
              </w:rPr>
              <w:t xml:space="preserve">Miejsce wykonania </w:t>
            </w:r>
            <w:r w:rsidR="00F13CBF">
              <w:rPr>
                <w:sz w:val="26"/>
                <w:szCs w:val="26"/>
              </w:rPr>
              <w:t>za</w:t>
            </w:r>
            <w:r>
              <w:rPr>
                <w:sz w:val="26"/>
                <w:szCs w:val="26"/>
              </w:rPr>
              <w:t xml:space="preserve">mówienia: Gmina </w:t>
            </w:r>
            <w:r w:rsidR="00AF6732">
              <w:rPr>
                <w:sz w:val="26"/>
                <w:szCs w:val="26"/>
              </w:rPr>
              <w:t>Węgliniec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F55C93" w14:paraId="35D7BFA6" w14:textId="77777777">
        <w:tc>
          <w:tcPr>
            <w:tcW w:w="9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FE31AD6" w14:textId="77777777" w:rsidR="00F55C93" w:rsidRDefault="00F55C93" w:rsidP="0074543E">
            <w:pPr>
              <w:spacing w:after="0" w:line="276" w:lineRule="auto"/>
              <w:jc w:val="both"/>
              <w:rPr>
                <w:rFonts w:eastAsia="Arial" w:cs="Arial"/>
              </w:rPr>
            </w:pPr>
            <w:r>
              <w:rPr>
                <w:sz w:val="26"/>
                <w:szCs w:val="26"/>
              </w:rPr>
              <w:t>Wspólny Słownik Z</w:t>
            </w:r>
            <w:r w:rsidR="003A5B79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 xml:space="preserve">mówień Publicznych: </w:t>
            </w:r>
          </w:p>
          <w:p w14:paraId="56896EBD" w14:textId="38ACE204" w:rsidR="00F55C93" w:rsidRDefault="008F26D7" w:rsidP="0074543E">
            <w:pPr>
              <w:spacing w:after="0" w:line="276" w:lineRule="auto"/>
              <w:jc w:val="both"/>
              <w:rPr>
                <w:rFonts w:cs="Times New Roman"/>
                <w:color w:val="000000"/>
              </w:rPr>
            </w:pPr>
            <w:r w:rsidRPr="008F26D7">
              <w:rPr>
                <w:rFonts w:eastAsia="Arial" w:cs="Arial"/>
              </w:rPr>
              <w:t>45316100-6</w:t>
            </w:r>
            <w:r w:rsidR="00F55C93">
              <w:rPr>
                <w:rFonts w:eastAsia="Arial" w:cs="Arial"/>
              </w:rPr>
              <w:t xml:space="preserve"> </w:t>
            </w:r>
            <w:r w:rsidRPr="008F26D7">
              <w:rPr>
                <w:rFonts w:eastAsia="Arial" w:cs="Arial"/>
              </w:rPr>
              <w:t>Instalowanie urządzeń oświetlenia zewnętrznego</w:t>
            </w:r>
          </w:p>
          <w:p w14:paraId="716A312F" w14:textId="77777777" w:rsidR="00F55C93" w:rsidRDefault="00F55C93" w:rsidP="0074543E">
            <w:pPr>
              <w:pStyle w:val="Tekstpodstawowy"/>
              <w:autoSpaceDE w:val="0"/>
              <w:spacing w:after="0" w:line="276" w:lineRule="auto"/>
              <w:jc w:val="both"/>
            </w:pPr>
            <w:r>
              <w:rPr>
                <w:rFonts w:cs="Times New Roman"/>
                <w:color w:val="000000"/>
              </w:rPr>
              <w:t xml:space="preserve">45316110-9 Instalowanie urządzeń oświetlenia drogowego </w:t>
            </w:r>
          </w:p>
          <w:p w14:paraId="11EDC0D4" w14:textId="77777777" w:rsidR="00F55C93" w:rsidRDefault="00F55C93" w:rsidP="0074543E">
            <w:pPr>
              <w:pStyle w:val="Tekstpodstawowy"/>
              <w:spacing w:after="0" w:line="276" w:lineRule="auto"/>
              <w:jc w:val="both"/>
              <w:rPr>
                <w:color w:val="000000"/>
              </w:rPr>
            </w:pPr>
            <w:r>
              <w:t>45311200-2 Roboty w zakresie instalacji elektrycznych</w:t>
            </w:r>
          </w:p>
          <w:p w14:paraId="690B3617" w14:textId="77777777" w:rsidR="00F55C93" w:rsidRDefault="00F55C93" w:rsidP="0074543E">
            <w:pPr>
              <w:pStyle w:val="Tekstpodstawowy"/>
              <w:spacing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31520000-7 Lampy i oprawy oświetleniowe</w:t>
            </w:r>
          </w:p>
          <w:p w14:paraId="6B8DB14D" w14:textId="207B7061" w:rsidR="00F55C93" w:rsidRDefault="00F55C93" w:rsidP="0074543E">
            <w:pPr>
              <w:autoSpaceDE w:val="0"/>
              <w:spacing w:after="0" w:line="276" w:lineRule="auto"/>
              <w:jc w:val="both"/>
            </w:pPr>
          </w:p>
        </w:tc>
      </w:tr>
      <w:tr w:rsidR="00F55C93" w14:paraId="03423BC7" w14:textId="77777777">
        <w:tc>
          <w:tcPr>
            <w:tcW w:w="9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0E013B4" w14:textId="77777777" w:rsidR="00F55C93" w:rsidRPr="00AB7094" w:rsidRDefault="00F55C93" w:rsidP="0074543E">
            <w:pPr>
              <w:autoSpaceDE w:val="0"/>
              <w:spacing w:after="0" w:line="276" w:lineRule="auto"/>
              <w:jc w:val="both"/>
              <w:rPr>
                <w:rStyle w:val="Pogrubienie"/>
                <w:sz w:val="26"/>
                <w:szCs w:val="26"/>
              </w:rPr>
            </w:pPr>
            <w:r>
              <w:rPr>
                <w:sz w:val="26"/>
                <w:szCs w:val="26"/>
              </w:rPr>
              <w:t>Z</w:t>
            </w:r>
            <w:r w:rsidR="00D7713C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 xml:space="preserve">mawiający: </w:t>
            </w:r>
            <w:r w:rsidR="00AB7094" w:rsidRPr="00AB7094">
              <w:rPr>
                <w:rStyle w:val="Pogrubienie"/>
                <w:sz w:val="26"/>
                <w:szCs w:val="26"/>
              </w:rPr>
              <w:t>Gmin</w:t>
            </w:r>
            <w:r w:rsidR="00D7713C">
              <w:rPr>
                <w:rStyle w:val="Pogrubienie"/>
                <w:sz w:val="26"/>
                <w:szCs w:val="26"/>
              </w:rPr>
              <w:t>a</w:t>
            </w:r>
            <w:r w:rsidR="00AB7094" w:rsidRPr="00AB7094">
              <w:rPr>
                <w:rStyle w:val="Pogrubienie"/>
                <w:sz w:val="26"/>
                <w:szCs w:val="26"/>
              </w:rPr>
              <w:t xml:space="preserve"> </w:t>
            </w:r>
            <w:r w:rsidR="00AF6732">
              <w:rPr>
                <w:rStyle w:val="Pogrubienie"/>
                <w:sz w:val="26"/>
                <w:szCs w:val="26"/>
              </w:rPr>
              <w:t>Węgliniec</w:t>
            </w:r>
          </w:p>
          <w:p w14:paraId="1F60B669" w14:textId="00706F1C" w:rsidR="00AB7094" w:rsidRPr="00AB7094" w:rsidRDefault="00AB7094" w:rsidP="00AB7094">
            <w:pPr>
              <w:pStyle w:val="Default"/>
              <w:autoSpaceDE w:val="0"/>
              <w:spacing w:line="276" w:lineRule="auto"/>
              <w:jc w:val="both"/>
              <w:rPr>
                <w:rFonts w:ascii="Calibri" w:hAnsi="Calibri"/>
                <w:b/>
                <w:bCs/>
                <w:sz w:val="26"/>
                <w:szCs w:val="26"/>
              </w:rPr>
            </w:pPr>
            <w:r>
              <w:rPr>
                <w:rFonts w:ascii="Calibri" w:hAnsi="Calibri"/>
                <w:b/>
                <w:bCs/>
                <w:sz w:val="26"/>
                <w:szCs w:val="26"/>
              </w:rPr>
              <w:t xml:space="preserve">                       </w:t>
            </w:r>
            <w:r w:rsidR="00F13CBF">
              <w:rPr>
                <w:rFonts w:ascii="Calibri" w:hAnsi="Calibri"/>
                <w:b/>
                <w:bCs/>
                <w:sz w:val="26"/>
                <w:szCs w:val="26"/>
              </w:rPr>
              <w:t xml:space="preserve">   </w:t>
            </w:r>
            <w:r w:rsidRPr="00AB7094">
              <w:rPr>
                <w:rFonts w:ascii="Calibri" w:hAnsi="Calibri"/>
                <w:b/>
                <w:bCs/>
                <w:sz w:val="26"/>
                <w:szCs w:val="26"/>
              </w:rPr>
              <w:t xml:space="preserve">ul. </w:t>
            </w:r>
            <w:r w:rsidR="00AF6732">
              <w:rPr>
                <w:rFonts w:ascii="Calibri" w:hAnsi="Calibri"/>
                <w:b/>
                <w:bCs/>
                <w:sz w:val="26"/>
                <w:szCs w:val="26"/>
              </w:rPr>
              <w:t>Sikorskiego 3</w:t>
            </w:r>
          </w:p>
          <w:p w14:paraId="5C42A1B3" w14:textId="670660DD" w:rsidR="00F55C93" w:rsidRPr="00AB7094" w:rsidRDefault="00AB7094" w:rsidP="00AF6732">
            <w:pPr>
              <w:pStyle w:val="Default"/>
              <w:autoSpaceDE w:val="0"/>
              <w:spacing w:line="276" w:lineRule="auto"/>
              <w:jc w:val="both"/>
              <w:rPr>
                <w:rFonts w:ascii="Calibri" w:hAnsi="Calibri"/>
                <w:b/>
                <w:bCs/>
                <w:sz w:val="26"/>
                <w:szCs w:val="26"/>
              </w:rPr>
            </w:pPr>
            <w:r>
              <w:rPr>
                <w:rFonts w:ascii="Calibri" w:hAnsi="Calibri"/>
                <w:b/>
                <w:bCs/>
                <w:sz w:val="26"/>
                <w:szCs w:val="26"/>
              </w:rPr>
              <w:t xml:space="preserve">                       </w:t>
            </w:r>
            <w:r w:rsidR="00F13CBF">
              <w:rPr>
                <w:rFonts w:ascii="Calibri" w:hAnsi="Calibri"/>
                <w:b/>
                <w:bCs/>
                <w:sz w:val="26"/>
                <w:szCs w:val="26"/>
              </w:rPr>
              <w:t xml:space="preserve">   </w:t>
            </w:r>
            <w:r w:rsidRPr="00AB7094">
              <w:rPr>
                <w:rFonts w:ascii="Calibri" w:hAnsi="Calibri"/>
                <w:b/>
                <w:bCs/>
                <w:sz w:val="26"/>
                <w:szCs w:val="26"/>
              </w:rPr>
              <w:t>59-9</w:t>
            </w:r>
            <w:r w:rsidR="00AF6732">
              <w:rPr>
                <w:rFonts w:ascii="Calibri" w:hAnsi="Calibri"/>
                <w:b/>
                <w:bCs/>
                <w:sz w:val="26"/>
                <w:szCs w:val="26"/>
              </w:rPr>
              <w:t>40 Węgliniec</w:t>
            </w:r>
          </w:p>
        </w:tc>
      </w:tr>
      <w:tr w:rsidR="00F55C93" w14:paraId="0CCDD586" w14:textId="77777777">
        <w:trPr>
          <w:trHeight w:val="718"/>
        </w:trPr>
        <w:tc>
          <w:tcPr>
            <w:tcW w:w="9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65E7F0" w14:textId="472935FD" w:rsidR="00F13CBF" w:rsidRPr="008A6091" w:rsidRDefault="004C00BD" w:rsidP="00F13CBF">
            <w:pPr>
              <w:autoSpaceDE w:val="0"/>
              <w:spacing w:after="0" w:line="276" w:lineRule="auto"/>
              <w:jc w:val="both"/>
              <w:rPr>
                <w:b/>
                <w:sz w:val="26"/>
                <w:szCs w:val="26"/>
              </w:rPr>
            </w:pPr>
            <w:r>
              <w:t>Wykonawca:</w:t>
            </w:r>
            <w:r w:rsidR="00F13CBF" w:rsidRPr="008A6091">
              <w:rPr>
                <w:b/>
                <w:sz w:val="26"/>
                <w:szCs w:val="26"/>
              </w:rPr>
              <w:t xml:space="preserve"> </w:t>
            </w:r>
            <w:r w:rsidR="00F13CBF">
              <w:rPr>
                <w:b/>
                <w:sz w:val="26"/>
                <w:szCs w:val="26"/>
              </w:rPr>
              <w:t xml:space="preserve">    </w:t>
            </w:r>
            <w:r w:rsidR="00F13CBF" w:rsidRPr="008A6091">
              <w:rPr>
                <w:b/>
                <w:sz w:val="26"/>
                <w:szCs w:val="26"/>
              </w:rPr>
              <w:t xml:space="preserve">ELECTRO-INVEST </w:t>
            </w:r>
          </w:p>
          <w:p w14:paraId="3C7FAC71" w14:textId="77777777" w:rsidR="00F13CBF" w:rsidRPr="008A6091" w:rsidRDefault="00F13CBF" w:rsidP="00F13CBF">
            <w:pPr>
              <w:autoSpaceDE w:val="0"/>
              <w:spacing w:after="0" w:line="276" w:lineRule="auto"/>
              <w:jc w:val="both"/>
              <w:rPr>
                <w:b/>
                <w:sz w:val="26"/>
                <w:szCs w:val="26"/>
              </w:rPr>
            </w:pPr>
            <w:r w:rsidRPr="008A6091">
              <w:rPr>
                <w:b/>
                <w:sz w:val="26"/>
                <w:szCs w:val="26"/>
              </w:rPr>
              <w:tab/>
            </w:r>
            <w:r w:rsidRPr="008A6091">
              <w:rPr>
                <w:b/>
                <w:sz w:val="26"/>
                <w:szCs w:val="26"/>
              </w:rPr>
              <w:tab/>
              <w:t>Jędrzej Koman</w:t>
            </w:r>
          </w:p>
          <w:p w14:paraId="0907451E" w14:textId="77777777" w:rsidR="00F13CBF" w:rsidRPr="008A6091" w:rsidRDefault="00F13CBF" w:rsidP="00F13CBF">
            <w:pPr>
              <w:autoSpaceDE w:val="0"/>
              <w:spacing w:after="0" w:line="276" w:lineRule="auto"/>
              <w:jc w:val="both"/>
              <w:rPr>
                <w:b/>
                <w:sz w:val="26"/>
                <w:szCs w:val="26"/>
              </w:rPr>
            </w:pPr>
            <w:r w:rsidRPr="008A6091">
              <w:rPr>
                <w:b/>
                <w:sz w:val="26"/>
                <w:szCs w:val="26"/>
              </w:rPr>
              <w:tab/>
            </w:r>
            <w:r w:rsidRPr="008A6091">
              <w:rPr>
                <w:b/>
                <w:sz w:val="26"/>
                <w:szCs w:val="26"/>
              </w:rPr>
              <w:tab/>
              <w:t>Pisarzowice 80</w:t>
            </w:r>
          </w:p>
          <w:p w14:paraId="1EFBFC6A" w14:textId="76F3501C" w:rsidR="00F55C93" w:rsidRDefault="00F13CBF" w:rsidP="00F13CBF">
            <w:pPr>
              <w:autoSpaceDE w:val="0"/>
              <w:spacing w:after="0" w:line="276" w:lineRule="auto"/>
              <w:jc w:val="both"/>
            </w:pPr>
            <w:r w:rsidRPr="008A6091">
              <w:rPr>
                <w:b/>
                <w:sz w:val="26"/>
                <w:szCs w:val="26"/>
              </w:rPr>
              <w:t xml:space="preserve">                      </w:t>
            </w:r>
            <w:r w:rsidRPr="008A6091">
              <w:rPr>
                <w:b/>
                <w:sz w:val="26"/>
                <w:szCs w:val="26"/>
              </w:rPr>
              <w:tab/>
              <w:t>59 – 800 Lubań</w:t>
            </w:r>
          </w:p>
          <w:p w14:paraId="44871217" w14:textId="77777777" w:rsidR="004C00BD" w:rsidRDefault="004C00BD" w:rsidP="0074543E">
            <w:pPr>
              <w:autoSpaceDE w:val="0"/>
              <w:spacing w:after="0" w:line="276" w:lineRule="auto"/>
              <w:jc w:val="both"/>
            </w:pPr>
          </w:p>
        </w:tc>
      </w:tr>
    </w:tbl>
    <w:p w14:paraId="4F852F00" w14:textId="21EF12B8" w:rsidR="00F55C93" w:rsidRDefault="004C00BD" w:rsidP="000F22FE">
      <w:pPr>
        <w:autoSpaceDE w:val="0"/>
        <w:spacing w:after="0" w:line="276" w:lineRule="auto"/>
        <w:jc w:val="center"/>
      </w:pPr>
      <w:r>
        <w:t xml:space="preserve">Miejsce i data wykonania: </w:t>
      </w:r>
      <w:r w:rsidR="00AF6732">
        <w:t>Węgliniec</w:t>
      </w:r>
      <w:r w:rsidR="00F55C93">
        <w:t xml:space="preserve">, </w:t>
      </w:r>
      <w:r w:rsidR="00AB7094">
        <w:t>15.</w:t>
      </w:r>
      <w:r w:rsidR="00F13CBF">
        <w:t>05</w:t>
      </w:r>
      <w:r w:rsidR="00AB7094">
        <w:t>.202</w:t>
      </w:r>
      <w:r w:rsidR="00F13CBF">
        <w:t>4</w:t>
      </w:r>
      <w:r w:rsidR="00AB7094">
        <w:t>r.</w:t>
      </w:r>
    </w:p>
    <w:p w14:paraId="0ECCCE05" w14:textId="77777777" w:rsidR="00F13CBF" w:rsidRDefault="00F13CBF" w:rsidP="007454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A34A38" w14:textId="77777777" w:rsidR="00F13CBF" w:rsidRDefault="00F13CBF" w:rsidP="007454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0DF3D7" w14:textId="77777777" w:rsidR="00F13CBF" w:rsidRDefault="00F13CBF" w:rsidP="0074543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EC2925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lastRenderedPageBreak/>
        <w:t>Spis treści</w:t>
      </w:r>
    </w:p>
    <w:p w14:paraId="0DF35825" w14:textId="38C80A51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WSTĘP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4B8945E7" w14:textId="0C91BB65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ZAKRES ROBÓT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C4B8D2D" w14:textId="0BE88B1E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MATERIAŁY</w:t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 xml:space="preserve"> W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YMAGANIA TECHNICZNE</w:t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2973E485" w14:textId="16A81B08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GWARANCJA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12</w:t>
      </w:r>
    </w:p>
    <w:p w14:paraId="5E128ED1" w14:textId="4E4574C9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ENERGIA BIERNA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08FDD33A" w14:textId="05435B26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UTYLIZACJA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13</w:t>
      </w:r>
    </w:p>
    <w:p w14:paraId="0C9D0FBF" w14:textId="40EFC341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SPRZĘT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13</w:t>
      </w:r>
    </w:p>
    <w:p w14:paraId="0071C44B" w14:textId="218BB2C9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TRANSPORT I SKŁADOWANIE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13</w:t>
      </w:r>
    </w:p>
    <w:p w14:paraId="278423AD" w14:textId="67F8A1BA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WYKONANIE ROBÓT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14</w:t>
      </w:r>
    </w:p>
    <w:p w14:paraId="135960B2" w14:textId="4C4D3526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KONTROLA JAKOŚCI ROBÓT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14</w:t>
      </w:r>
    </w:p>
    <w:p w14:paraId="66DF3828" w14:textId="53B25468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OBMIAR ROBÓT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14:paraId="1C7A5487" w14:textId="1B902CE5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ODBIÓR ROBÓT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1C096FC0" w14:textId="73E114E3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PODSTAWA PŁATNOŚCI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16</w:t>
      </w:r>
    </w:p>
    <w:p w14:paraId="3110CEC6" w14:textId="74F8960F" w:rsidR="00FC5257" w:rsidRPr="00FC5257" w:rsidRDefault="00FC5257" w:rsidP="00495F4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PRZEPISY PODSTAWOWE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95F4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>16</w:t>
      </w:r>
    </w:p>
    <w:p w14:paraId="6CD95A58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6BC8B1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FF2FB3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D5DA77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2AEB69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95EF5D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CA2EA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D2ECF0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D86577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B95B80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81791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ACD5E3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EE2E9F" w14:textId="77777777" w:rsidR="00495F41" w:rsidRDefault="00495F41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89CDC9C" w14:textId="3270EAD8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WSTĘP</w:t>
      </w:r>
    </w:p>
    <w:p w14:paraId="44C82011" w14:textId="143E4A0B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 xml:space="preserve">Przedmiotem niniejszej specyfikacji są wymagania dotyczące wykonania i odbioru robót polegających na wymianie istniejącego oświetlenia </w:t>
      </w:r>
      <w:r w:rsidR="00495F41">
        <w:rPr>
          <w:rFonts w:ascii="Times New Roman" w:hAnsi="Times New Roman" w:cs="Times New Roman"/>
          <w:sz w:val="24"/>
          <w:szCs w:val="24"/>
        </w:rPr>
        <w:t>zewnętrznego</w:t>
      </w:r>
      <w:r w:rsidRPr="00495F41">
        <w:rPr>
          <w:rFonts w:ascii="Times New Roman" w:hAnsi="Times New Roman" w:cs="Times New Roman"/>
          <w:sz w:val="24"/>
          <w:szCs w:val="24"/>
        </w:rPr>
        <w:t>.</w:t>
      </w:r>
    </w:p>
    <w:p w14:paraId="5A7EEE22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ZAKRES ROBÓT</w:t>
      </w:r>
    </w:p>
    <w:p w14:paraId="528262B8" w14:textId="77777777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Do zakresu robót objętego specyfikacją należy:</w:t>
      </w:r>
    </w:p>
    <w:p w14:paraId="79AA18F5" w14:textId="77777777" w:rsidR="00495F41" w:rsidRPr="00495F41" w:rsidRDefault="00FC5257" w:rsidP="00495F41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F41">
        <w:rPr>
          <w:rFonts w:ascii="Times New Roman" w:hAnsi="Times New Roman"/>
          <w:sz w:val="24"/>
          <w:szCs w:val="24"/>
        </w:rPr>
        <w:t>Demontaż opraw oświetleniowych i montaż w ich miejsce nowych opraw energooszczędnych LED</w:t>
      </w:r>
    </w:p>
    <w:p w14:paraId="249F5654" w14:textId="709AB1F6" w:rsidR="00FC5257" w:rsidRPr="00495F41" w:rsidRDefault="00FC5257" w:rsidP="00495F41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F41">
        <w:rPr>
          <w:rFonts w:ascii="Times New Roman" w:hAnsi="Times New Roman"/>
          <w:sz w:val="24"/>
          <w:szCs w:val="24"/>
        </w:rPr>
        <w:t>Przeprowadzenie badań, prób i pomiarów</w:t>
      </w:r>
    </w:p>
    <w:p w14:paraId="0FBFADC2" w14:textId="5F943116" w:rsidR="00FC5257" w:rsidRPr="00495F41" w:rsidRDefault="00FC5257" w:rsidP="00495F41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F41">
        <w:rPr>
          <w:rFonts w:ascii="Times New Roman" w:hAnsi="Times New Roman"/>
          <w:sz w:val="24"/>
          <w:szCs w:val="24"/>
        </w:rPr>
        <w:t>Wykonanie dokumentacji powykonawczej</w:t>
      </w:r>
    </w:p>
    <w:p w14:paraId="21BF5233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Przepisy techniczno-budowlane</w:t>
      </w:r>
    </w:p>
    <w:p w14:paraId="43C139C1" w14:textId="4CD05A6C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Oświetlenie uliczne powinno spełniać wymagania techniczno-budowlane określone w ustawach i rozporządzeniach wykonawczych do tych ustaw oraz normach wprowadzonych do ich stosowania.</w:t>
      </w:r>
    </w:p>
    <w:p w14:paraId="66D18909" w14:textId="77777777" w:rsidR="00FC5257" w:rsidRPr="00495F41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Szczegółowe wymagania techniczne zawarte są w rozporządzeniach.</w:t>
      </w:r>
    </w:p>
    <w:p w14:paraId="33D5FDE6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2.2.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Ogólne wymagania dotyczące robót</w:t>
      </w:r>
    </w:p>
    <w:p w14:paraId="337A287D" w14:textId="77777777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Wykonawca robót odpowiedzialny jest za jakość wykonanych robót i ich zgodność z dokumentacją projektową, specyfikacją techniczną, obowiązującymi przepisami i poleceniami Inspektora Nadzoru i powinny być wykonane zgodnie z zasadami wiedzy technicznej.</w:t>
      </w:r>
    </w:p>
    <w:p w14:paraId="14871B4F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2.2.1.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Przekazanie terenu budowy</w:t>
      </w:r>
    </w:p>
    <w:p w14:paraId="1E2F6744" w14:textId="325911FA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Zamawiający, w terminie określonym w dokumentach umowy przekaże Wykonawcy teren budowy wraz ze wszystkimi wymaganymi uzgodnieniami prawnymi i administracyjnymi, poda lokalizację i współrzędne punktów głównych. Na Wykonawcy spoczywa odpowiedzialność za ochronę przekazanych mu punktów pomiarowych do chwili odbioru końcowego robót. Uszkodzone lub zniszczone punkty pomiarowe wykonawca odtworzy i utrwali na własny koszt.</w:t>
      </w:r>
    </w:p>
    <w:p w14:paraId="63208DA6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2.2.2.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Dokumentacja projektowa</w:t>
      </w:r>
    </w:p>
    <w:p w14:paraId="72E70799" w14:textId="1E137652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Przekazana dokumentacja ma zawierać opis, część graficzną, obliczenia i dokumenty, zgodne z wykazem podanym w szczegółowych warunkach umownych.</w:t>
      </w:r>
    </w:p>
    <w:p w14:paraId="241B60CF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2.2.3.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Zgodność robót z dokumentacją projektową i SST</w:t>
      </w:r>
    </w:p>
    <w:p w14:paraId="495DB226" w14:textId="6BAEDABD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Dokumentacja projektowa, SST oraz dodatkowe dokument przekazane Wykonawcy przez Inspektora Nadzoru stanowią załączniki do umowy, a wymagania wyszczególnione choćby w jednym z nich są obowiązujące dla Wykonawcy tak, jakby zawarte byłyby w całej dokumentacji.</w:t>
      </w:r>
    </w:p>
    <w:p w14:paraId="2A884A8D" w14:textId="2E0A7248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lastRenderedPageBreak/>
        <w:t>W przypadku rozbieżności w ustaleniach poszczególnych dokumentów obowiązuje kolejność ich ważności wymieniona w „Ogólnych warunkach umownych”.</w:t>
      </w:r>
    </w:p>
    <w:p w14:paraId="49A0C888" w14:textId="53D23C7B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 xml:space="preserve">Wykonawca nie może wykorzystywać błędów lub </w:t>
      </w:r>
      <w:proofErr w:type="spellStart"/>
      <w:r w:rsidR="00495F41" w:rsidRPr="00495F41">
        <w:rPr>
          <w:rFonts w:ascii="Times New Roman" w:hAnsi="Times New Roman" w:cs="Times New Roman"/>
          <w:sz w:val="24"/>
          <w:szCs w:val="24"/>
        </w:rPr>
        <w:t>opuszcze</w:t>
      </w:r>
      <w:r w:rsidR="00495F41">
        <w:rPr>
          <w:rFonts w:ascii="Times New Roman" w:hAnsi="Times New Roman" w:cs="Times New Roman"/>
          <w:sz w:val="24"/>
          <w:szCs w:val="24"/>
        </w:rPr>
        <w:t>ń</w:t>
      </w:r>
      <w:proofErr w:type="spellEnd"/>
      <w:r w:rsidR="00495F41">
        <w:rPr>
          <w:rFonts w:ascii="Times New Roman" w:hAnsi="Times New Roman" w:cs="Times New Roman"/>
          <w:sz w:val="24"/>
          <w:szCs w:val="24"/>
        </w:rPr>
        <w:t xml:space="preserve"> </w:t>
      </w:r>
      <w:r w:rsidRPr="00495F41">
        <w:rPr>
          <w:rFonts w:ascii="Times New Roman" w:hAnsi="Times New Roman" w:cs="Times New Roman"/>
          <w:sz w:val="24"/>
          <w:szCs w:val="24"/>
        </w:rPr>
        <w:t>w dokumentach kontraktowych, a o ich wykryciu winien natychmiast powiadomić Inspektora Nadzoru, który dokona odpowiednich zmian i poprawek.</w:t>
      </w:r>
    </w:p>
    <w:p w14:paraId="3839E3EC" w14:textId="4367236F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 przypadku stwierdzenia ewentualnych rozbieżności podane na rysunku wielkości liczbowe wymiarów są ważniejsze od odczytu ze skali rysunków.</w:t>
      </w:r>
    </w:p>
    <w:p w14:paraId="1FE99866" w14:textId="77777777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Wszystkie wykonane roboty i dostarczone materiały mają być zgodne z dokumentacją i SST.</w:t>
      </w:r>
    </w:p>
    <w:p w14:paraId="5F88355A" w14:textId="795C8DC4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 xml:space="preserve">W przypadku, gdy dostarczone materiały lub wykonane roboty nie będą zgodne z dokumentacją </w:t>
      </w:r>
      <w:r w:rsidR="00495F41">
        <w:rPr>
          <w:rFonts w:ascii="Times New Roman" w:hAnsi="Times New Roman" w:cs="Times New Roman"/>
          <w:sz w:val="24"/>
          <w:szCs w:val="24"/>
        </w:rPr>
        <w:t>zamówienia</w:t>
      </w:r>
      <w:r w:rsidRPr="00495F41">
        <w:rPr>
          <w:rFonts w:ascii="Times New Roman" w:hAnsi="Times New Roman" w:cs="Times New Roman"/>
          <w:sz w:val="24"/>
          <w:szCs w:val="24"/>
        </w:rPr>
        <w:t xml:space="preserve"> lub SST i mają wpływ na niezadowalającą jakość elementu budowli, to takie materiały zostaną zastąpione innymi i wykonane ponownie na koszt Wykonawcy.</w:t>
      </w:r>
    </w:p>
    <w:p w14:paraId="7D0CC073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2.2.4.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Zabezpieczenie terenu budowy</w:t>
      </w:r>
    </w:p>
    <w:p w14:paraId="6D3FF47C" w14:textId="6EB788D1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Wykonawca jest zobowiązany do zabezpieczenie terenu budowy w okresie trwania realizacji kontraktu aż do zakończenia budowy i odbioru ostatecznego robót.</w:t>
      </w:r>
    </w:p>
    <w:p w14:paraId="49932ADD" w14:textId="77777777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Koszt zabezpieczenia terenu budowy nie podlega odrębnej zapłacie i przyjmuje się, że jest włączony w cenę umowną.</w:t>
      </w:r>
    </w:p>
    <w:p w14:paraId="0DA434FE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2.2.5.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Ochrona środowiska w czasie wykonywania robót</w:t>
      </w:r>
    </w:p>
    <w:p w14:paraId="6F919CCF" w14:textId="77777777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Wykonawca na obowiązek znać i stosować w czasie prowadzenia robót wszelkie przepisy dotyczące ochrony środowiska naturalnego.</w:t>
      </w:r>
    </w:p>
    <w:p w14:paraId="4039954E" w14:textId="77777777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 okresie trwania budowy i wykańczania robót Wykonawca będzie:</w:t>
      </w:r>
    </w:p>
    <w:p w14:paraId="7C219E95" w14:textId="73E4D537" w:rsidR="00FC5257" w:rsidRPr="00495F41" w:rsidRDefault="00FC5257" w:rsidP="00495F41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F41">
        <w:rPr>
          <w:rFonts w:ascii="Times New Roman" w:hAnsi="Times New Roman"/>
          <w:sz w:val="24"/>
          <w:szCs w:val="24"/>
        </w:rPr>
        <w:t xml:space="preserve">podejmować wszelkie uzasadnione kroki mające na celu stosowanie się do przepisów i norm dotyczących ochrony środowiska na terenie i wokół terenu budowy </w:t>
      </w:r>
    </w:p>
    <w:p w14:paraId="30CDC4BF" w14:textId="66CCF80F" w:rsidR="00FC5257" w:rsidRPr="00495F41" w:rsidRDefault="00FC5257" w:rsidP="00495F41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F41">
        <w:rPr>
          <w:rFonts w:ascii="Times New Roman" w:hAnsi="Times New Roman"/>
          <w:sz w:val="24"/>
          <w:szCs w:val="24"/>
        </w:rPr>
        <w:t>unikać uszkodzeń lub uciążliwości dla osób lub własności społecznej i innych, a wynikających ze skażenia, hałasu lub innych przyczyn powstałych w następstwie jego sposobu działania.</w:t>
      </w:r>
    </w:p>
    <w:p w14:paraId="1898D929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2.2.6.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Ochrona własności publicznej i prywatnej</w:t>
      </w:r>
    </w:p>
    <w:p w14:paraId="3ACFA73A" w14:textId="601B8288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Wykonawca odpowiada za ochronę instalacji i urządzeń zlokalizowanych na powierzchni i pod jego poziomem, takie jak rurociągi, kable itd. Wykonawca zapewni właściwe oznaczenie i zabezpieczenie przed uszkodzeniami tych instalacji i urządzeń w czasie trwania budowy.</w:t>
      </w:r>
    </w:p>
    <w:p w14:paraId="4B4F31CA" w14:textId="77777777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O fakcie przypadkowego uszkodzenia tych instalacji Wykonawca bezzwłocznie powiadomi Inspektora Nadzoru i zainteresowanych użytkowników oraz będzie z nimi współpracował, dostarczając wszelkiej pomocy potrzebnej przy dokonywaniu napraw.</w:t>
      </w:r>
    </w:p>
    <w:p w14:paraId="3835E46E" w14:textId="1A6B7EC4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lastRenderedPageBreak/>
        <w:t>Wykonawca będzie odpowiadał za wszelkie spowodowane przez niego uszkodzenia instalacji wykazanych w dokumentach dostarczonych mu przez Zamawiającego.</w:t>
      </w:r>
    </w:p>
    <w:p w14:paraId="567D15FF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2.2.7.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Bezpieczeństwo i higiena pracy</w:t>
      </w:r>
    </w:p>
    <w:p w14:paraId="17C1CBA1" w14:textId="28EAD323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Podczas realizacji robót wykonawca będzie przestrzegać przepisów dotyczących bezpieczeństwa i higieny pracy.</w:t>
      </w:r>
    </w:p>
    <w:p w14:paraId="00AD99DD" w14:textId="53B2A674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Wykonawca ma obowiązek zadbać, aby personel nie wykonywał pracy w warunkach nie-bezpiecznych, szkodliwych dla zdrowia oraz będzie utrzymywał wszelkie urządzenia zabezpieczające i odpowiednią odzież dla ochrony życia i zdrowia pracowników.</w:t>
      </w:r>
    </w:p>
    <w:p w14:paraId="1EF45382" w14:textId="77777777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Wypełnienie powyższych wymagań nie podlega odrębnej zapłacie i jest to uwzględnione w cenie umownej.</w:t>
      </w:r>
    </w:p>
    <w:p w14:paraId="5963F094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2.2.8.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Ochrona i utrzymanie robót</w:t>
      </w:r>
    </w:p>
    <w:p w14:paraId="6A114D72" w14:textId="77777777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Wykonawca będzie odpowiedzialny za ochronę robót i za wszelkie materiały i urządzenia używane do robót od daty rozpoczęcia do daty odbioru ostatecznego.</w:t>
      </w:r>
    </w:p>
    <w:p w14:paraId="683AA7A2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2.2.9.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Stosowanie się do prawa i innych przepisów</w:t>
      </w:r>
    </w:p>
    <w:p w14:paraId="2D3DF1AE" w14:textId="07A88796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>Wykonawca zobowiązany jest znać wszelkie przepisy wydane przez organy administracji państwowej i samorządowej, które są w jakikolwiek sposób związane z robotami i będzie w pełni odpowiedzialny za przestrzeganie tych praw, przepisów i wytycznych podczas prowadzenia robót.</w:t>
      </w:r>
    </w:p>
    <w:p w14:paraId="4E3DDE6A" w14:textId="3C9AFF04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MATERIAŁY – WYMAGANIA TECHNICZNE</w:t>
      </w:r>
    </w:p>
    <w:p w14:paraId="73E65948" w14:textId="6924D03A" w:rsidR="00FC5257" w:rsidRPr="00495F41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F41">
        <w:rPr>
          <w:rFonts w:ascii="Times New Roman" w:hAnsi="Times New Roman" w:cs="Times New Roman"/>
          <w:sz w:val="24"/>
          <w:szCs w:val="24"/>
        </w:rPr>
        <w:t xml:space="preserve">Zamawiający wymaga </w:t>
      </w:r>
      <w:r w:rsidR="00495F41">
        <w:rPr>
          <w:rFonts w:ascii="Times New Roman" w:hAnsi="Times New Roman" w:cs="Times New Roman"/>
          <w:sz w:val="24"/>
          <w:szCs w:val="24"/>
        </w:rPr>
        <w:t xml:space="preserve">doboru, </w:t>
      </w:r>
      <w:r w:rsidRPr="00495F41">
        <w:rPr>
          <w:rFonts w:ascii="Times New Roman" w:hAnsi="Times New Roman" w:cs="Times New Roman"/>
          <w:sz w:val="24"/>
          <w:szCs w:val="24"/>
        </w:rPr>
        <w:t>dostawy i montażu nowych opraw energooszczędnych LED</w:t>
      </w:r>
      <w:r w:rsidR="00495F41" w:rsidRPr="00495F41">
        <w:rPr>
          <w:rFonts w:ascii="Times New Roman" w:hAnsi="Times New Roman" w:cs="Times New Roman"/>
          <w:sz w:val="24"/>
          <w:szCs w:val="24"/>
        </w:rPr>
        <w:t xml:space="preserve"> zgodnych z poniższymi wymaganiami:</w:t>
      </w:r>
    </w:p>
    <w:p w14:paraId="6E56F9AA" w14:textId="4BE25675" w:rsidR="000F2689" w:rsidRPr="00FF3710" w:rsidRDefault="00FC5257" w:rsidP="00495F41">
      <w:pPr>
        <w:spacing w:before="240" w:after="0" w:line="276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2689" w:rsidRPr="00FF3710">
        <w:rPr>
          <w:rFonts w:ascii="Times New Roman" w:eastAsia="Arial" w:hAnsi="Times New Roman" w:cs="Times New Roman"/>
          <w:b/>
          <w:bCs/>
          <w:sz w:val="24"/>
          <w:szCs w:val="24"/>
        </w:rPr>
        <w:t>PARAMETRY TECHNICZNE OPRAWY DROGOWEJ LED</w:t>
      </w:r>
    </w:p>
    <w:p w14:paraId="19B4F136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Budowa oprawy: dwukomorowa (termiczne rozdzielenie pomiędzy układem zasilającym, a układem optycznym)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4D966CC6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Materiał korpusu oraz pokrywy: wysokociśnieniowy odlew aluminiowy malowany proszkowo na wybrany kolor RAL7040 teksturowany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1ED7BEB3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Wnętrze komory optycznej, komory elektrycznej oraz elementy oprawy (np. pokrywa, uchwyt montażowy) zabezpieczone przed korozją powłoką lakierniczą. Nie dopuszcza się surowego materiału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55BB998A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Materiał klosza: Płaskie hartowane szkło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18FE2C09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Stopień odporności klosza na uderzenia mechaniczne: IK09. Wymagany jest raport z badań pochodzący z akredytowanego laboratorium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69EC1422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Szczelność komory optycznej IP66 i IP67</w:t>
      </w:r>
    </w:p>
    <w:p w14:paraId="20CD4567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Szczelność komory elektrycznej IP66 i IP67</w:t>
      </w:r>
    </w:p>
    <w:p w14:paraId="7DEC4D37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Wymagany jest raport z badań szczelności pochodzący z akredytowanego laboratorium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6D5B3E26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lastRenderedPageBreak/>
        <w:t>Oprawa wyposażona w uniwersalny uchwyt, wykonany z odlewu aluminiowego malowanego proszkowo na kolor oprawy, stanowiący integralną część oprawy oraz pozwalający na montaż zarówno na wysięgniku jak i bezpośrednio na słupie. Kąt nachylenia oprawy jest możliwy w zakresie: od 0° do 30° (montaż bezpośredni) oraz od -45° do 15° (montaż na wysięgniku). Zmiana sposobu montażu odbywa się bez konieczności zdejmowania oprawy.</w:t>
      </w:r>
    </w:p>
    <w:p w14:paraId="606C2BB8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Dostęp do komory osprzętu elektrycznego odbywa się bez użycia narzędzi. Nie dopuszcza się stosowania śrub typu „motylek” i podobnych ze względu na brak możliwości jednoznacznego zdefiniowania prawidłowości ich zamknięcia (moment dokręcania).</w:t>
      </w:r>
    </w:p>
    <w:p w14:paraId="30D60BAF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Oprawa wyposażona w system regulacji ciśnienia wewnątrz oprawy, zapobiegający zjawisku kondensacji pary wodnej w komorze elektrycznej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1E8B0A40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Oprawa wykonana w technologii LED, bryła fotometryczna kształtowana za pomocą płaskiej wielosoczewkowej matrycy LED. Każda z soczewek matrycy emituje taką samą krzywą światłości, a całkowity strumień oprawy jest sumą strumieni poszczególnych soczewek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5714EC46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Temperatura barwowa źródeł światła: 4000K ±10%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58B92E04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Moc i strumień z oprawy nie gorszy niż w referencyjnych obliczeniach fotometrycznych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53274191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Oprawy muszą spełniać wymagania normy EN 62471 „Bezpieczeństwo fotobiologiczne lamp i systemów lampowych”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240B4A05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Trwałość strumienia światła oprawy mierzona parametrem L90B10 dla temperatury T</w:t>
      </w:r>
      <w:r w:rsidRPr="00FF3710">
        <w:rPr>
          <w:rFonts w:ascii="Times New Roman" w:eastAsia="Arial" w:hAnsi="Times New Roman" w:cs="Times New Roman"/>
          <w:sz w:val="24"/>
          <w:szCs w:val="24"/>
          <w:vertAlign w:val="subscript"/>
        </w:rPr>
        <w:t xml:space="preserve">C </w:t>
      </w:r>
      <w:r w:rsidRPr="00FF3710">
        <w:rPr>
          <w:rFonts w:ascii="Times New Roman" w:eastAsia="Arial" w:hAnsi="Times New Roman" w:cs="Times New Roman"/>
          <w:sz w:val="24"/>
          <w:szCs w:val="24"/>
        </w:rPr>
        <w:t>= 105°C min. 100 000h (zgodnie z IES LM-80 TM-21)</w:t>
      </w:r>
      <w:r>
        <w:rPr>
          <w:rFonts w:ascii="Times New Roman" w:eastAsia="Arial" w:hAnsi="Times New Roman" w:cs="Times New Roman"/>
          <w:sz w:val="24"/>
          <w:szCs w:val="24"/>
        </w:rPr>
        <w:t>.</w:t>
      </w:r>
      <w:r w:rsidRPr="00FF3710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60235C55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Wartości wskaźnika udziału światła wysyłanego ku górze (ULOR) nie większa niż określona w Rozporządzeniu WE nr 245/2009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479A23C3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Oprawa wyposażona przed zasilaczem w zabezpieczenie przed przepięciami 10kV oraz zabezpieczenie nadprądowe typu GG500V 6A 10x38mm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7F5AC57B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 xml:space="preserve">Oprawa wyposażona w 2 niskonapięciowe gniazda </w:t>
      </w:r>
      <w:proofErr w:type="spellStart"/>
      <w:r w:rsidRPr="00FF3710">
        <w:rPr>
          <w:rFonts w:ascii="Times New Roman" w:eastAsia="Arial" w:hAnsi="Times New Roman" w:cs="Times New Roman"/>
          <w:sz w:val="24"/>
          <w:szCs w:val="24"/>
        </w:rPr>
        <w:t>Zhaga</w:t>
      </w:r>
      <w:proofErr w:type="spellEnd"/>
      <w:r w:rsidRPr="00FF3710">
        <w:rPr>
          <w:rFonts w:ascii="Times New Roman" w:eastAsia="Arial" w:hAnsi="Times New Roman" w:cs="Times New Roman"/>
          <w:sz w:val="24"/>
          <w:szCs w:val="24"/>
        </w:rPr>
        <w:t>, zgodne ze standaryzacją D4i, gniazdo od góry oprawy pod sterownik, gniazdo od spodu oprawy pod sensor.</w:t>
      </w:r>
    </w:p>
    <w:p w14:paraId="5856F120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 xml:space="preserve">Oprawa wykonana w II klasie ochronności elektrycznej, znamionowe napięcie zasilania 220-240 V / 50-60 </w:t>
      </w:r>
      <w:proofErr w:type="spellStart"/>
      <w:r w:rsidRPr="00FF3710">
        <w:rPr>
          <w:rFonts w:ascii="Times New Roman" w:eastAsia="Arial" w:hAnsi="Times New Roman" w:cs="Times New Roman"/>
          <w:sz w:val="24"/>
          <w:szCs w:val="24"/>
        </w:rPr>
        <w:t>Hz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>.</w:t>
      </w:r>
      <w:r w:rsidRPr="00FF3710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1A6D32C4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Zakres temperatury otoczenia podczas pracy oprawy: od -40°C do +50°C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6A415062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Oprawa musi być oznakowana znakiem CE oraz</w:t>
      </w:r>
      <w:r>
        <w:rPr>
          <w:rFonts w:ascii="Times New Roman" w:eastAsia="Arial" w:hAnsi="Times New Roman" w:cs="Times New Roman"/>
          <w:sz w:val="24"/>
          <w:szCs w:val="24"/>
        </w:rPr>
        <w:t xml:space="preserve">  posiadać deklarację zgodności.</w:t>
      </w:r>
      <w:r w:rsidRPr="00FF3710">
        <w:rPr>
          <w:rFonts w:ascii="Times New Roman" w:eastAsia="Arial" w:hAnsi="Times New Roman" w:cs="Times New Roman"/>
          <w:sz w:val="24"/>
          <w:szCs w:val="24"/>
        </w:rPr>
        <w:t> </w:t>
      </w:r>
    </w:p>
    <w:p w14:paraId="66B5AEDE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 xml:space="preserve">Oprawa musi posiadać deklarację środowiskową (ang. PEP - Product </w:t>
      </w:r>
      <w:proofErr w:type="spellStart"/>
      <w:r w:rsidRPr="00FF3710">
        <w:rPr>
          <w:rFonts w:ascii="Times New Roman" w:eastAsia="Arial" w:hAnsi="Times New Roman" w:cs="Times New Roman"/>
          <w:sz w:val="24"/>
          <w:szCs w:val="24"/>
        </w:rPr>
        <w:t>Environmental</w:t>
      </w:r>
      <w:proofErr w:type="spellEnd"/>
      <w:r w:rsidRPr="00FF3710">
        <w:rPr>
          <w:rFonts w:ascii="Times New Roman" w:eastAsia="Arial" w:hAnsi="Times New Roman" w:cs="Times New Roman"/>
          <w:sz w:val="24"/>
          <w:szCs w:val="24"/>
        </w:rPr>
        <w:t xml:space="preserve"> Profile) zgodnie z ISO 14040:2006 oraz EN 15804:2012 + A2:2019, potwierdzoną przez uprawnioną jednostkę badawczą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630270BC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Oprawa musi posiadać - certyfikat ENEC i certyfikat ENEC+</w:t>
      </w:r>
      <w:r>
        <w:rPr>
          <w:rFonts w:ascii="Times New Roman" w:eastAsia="Arial" w:hAnsi="Times New Roman" w:cs="Times New Roman"/>
          <w:sz w:val="24"/>
          <w:szCs w:val="24"/>
        </w:rPr>
        <w:t>.</w:t>
      </w:r>
      <w:r w:rsidRPr="00FF3710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6FABC053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 xml:space="preserve">Oprawa musi posiadać certyfikat Zhaga-D4i, publikowany na oficjalnej stronie ZHAGA </w:t>
      </w:r>
      <w:proofErr w:type="spellStart"/>
      <w:r w:rsidRPr="00FF3710">
        <w:rPr>
          <w:rFonts w:ascii="Times New Roman" w:eastAsia="Arial" w:hAnsi="Times New Roman" w:cs="Times New Roman"/>
          <w:sz w:val="24"/>
          <w:szCs w:val="24"/>
        </w:rPr>
        <w:t>Consortium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2AFE1CCD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Dostępność plików fotometrycznych (np. format .</w:t>
      </w:r>
      <w:proofErr w:type="spellStart"/>
      <w:r w:rsidRPr="00FF3710">
        <w:rPr>
          <w:rFonts w:ascii="Times New Roman" w:eastAsia="Arial" w:hAnsi="Times New Roman" w:cs="Times New Roman"/>
          <w:sz w:val="24"/>
          <w:szCs w:val="24"/>
        </w:rPr>
        <w:t>Ldt</w:t>
      </w:r>
      <w:proofErr w:type="spellEnd"/>
      <w:r w:rsidRPr="00FF3710">
        <w:rPr>
          <w:rFonts w:ascii="Times New Roman" w:eastAsia="Arial" w:hAnsi="Times New Roman" w:cs="Times New Roman"/>
          <w:sz w:val="24"/>
          <w:szCs w:val="24"/>
        </w:rPr>
        <w:t>, .</w:t>
      </w:r>
      <w:proofErr w:type="spellStart"/>
      <w:r w:rsidRPr="00FF3710">
        <w:rPr>
          <w:rFonts w:ascii="Times New Roman" w:eastAsia="Arial" w:hAnsi="Times New Roman" w:cs="Times New Roman"/>
          <w:sz w:val="24"/>
          <w:szCs w:val="24"/>
        </w:rPr>
        <w:t>les</w:t>
      </w:r>
      <w:proofErr w:type="spellEnd"/>
      <w:r w:rsidRPr="00FF3710">
        <w:rPr>
          <w:rFonts w:ascii="Times New Roman" w:eastAsia="Arial" w:hAnsi="Times New Roman" w:cs="Times New Roman"/>
          <w:sz w:val="24"/>
          <w:szCs w:val="24"/>
        </w:rPr>
        <w:t xml:space="preserve">). Pliki zamieszczone na stronie internetowej producenta lub dystrybutora pozwalające wykonać sprawdzające obliczenia fotometryczne w ogólnodostępnych oświetleniowych programach komputerowych (np. </w:t>
      </w:r>
      <w:proofErr w:type="spellStart"/>
      <w:r w:rsidRPr="00FF3710">
        <w:rPr>
          <w:rFonts w:ascii="Times New Roman" w:eastAsia="Arial" w:hAnsi="Times New Roman" w:cs="Times New Roman"/>
          <w:sz w:val="24"/>
          <w:szCs w:val="24"/>
        </w:rPr>
        <w:t>Dialux</w:t>
      </w:r>
      <w:proofErr w:type="spellEnd"/>
      <w:r w:rsidRPr="00FF3710">
        <w:rPr>
          <w:rFonts w:ascii="Times New Roman" w:eastAsia="Arial" w:hAnsi="Times New Roman" w:cs="Times New Roman"/>
          <w:sz w:val="24"/>
          <w:szCs w:val="24"/>
        </w:rPr>
        <w:t xml:space="preserve">, </w:t>
      </w:r>
      <w:proofErr w:type="spellStart"/>
      <w:r w:rsidRPr="00FF3710">
        <w:rPr>
          <w:rFonts w:ascii="Times New Roman" w:eastAsia="Arial" w:hAnsi="Times New Roman" w:cs="Times New Roman"/>
          <w:sz w:val="24"/>
          <w:szCs w:val="24"/>
        </w:rPr>
        <w:t>Relux</w:t>
      </w:r>
      <w:proofErr w:type="spellEnd"/>
      <w:r w:rsidRPr="00FF3710">
        <w:rPr>
          <w:rFonts w:ascii="Times New Roman" w:eastAsia="Arial" w:hAnsi="Times New Roman" w:cs="Times New Roman"/>
          <w:sz w:val="24"/>
          <w:szCs w:val="24"/>
        </w:rPr>
        <w:t>)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71A3A6A2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lastRenderedPageBreak/>
        <w:t>Oprawa wyposażona w etykietę z kodem QR wraz z dodatkową naklejką do umieszczenia np. we wnęce słupowej i/lub na projekcie. Kod QR poprzez użycie dedykowanej aplikacji producenta umożliwia uzyskanie pełnej charakterystyki oprawy i dostęp do informacji takich jak:</w:t>
      </w:r>
    </w:p>
    <w:p w14:paraId="2E3C7D9A" w14:textId="77777777" w:rsidR="000F2689" w:rsidRPr="00FF3710" w:rsidRDefault="000F2689" w:rsidP="000F2689">
      <w:pPr>
        <w:autoSpaceDE w:val="0"/>
        <w:spacing w:after="0" w:line="276" w:lineRule="auto"/>
        <w:ind w:left="141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- parametry fotometryczne, elektryczne oraz mechaniczne</w:t>
      </w:r>
    </w:p>
    <w:p w14:paraId="61AB5463" w14:textId="77777777" w:rsidR="000F2689" w:rsidRPr="00FF3710" w:rsidRDefault="000F2689" w:rsidP="000F2689">
      <w:pPr>
        <w:autoSpaceDE w:val="0"/>
        <w:spacing w:after="0" w:line="276" w:lineRule="auto"/>
        <w:ind w:left="141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- dokumentacja oprawy, instrukcja montażu</w:t>
      </w:r>
    </w:p>
    <w:p w14:paraId="04D132D5" w14:textId="77777777" w:rsidR="000F2689" w:rsidRPr="00FF3710" w:rsidRDefault="000F2689" w:rsidP="000F2689">
      <w:pPr>
        <w:autoSpaceDE w:val="0"/>
        <w:spacing w:after="0" w:line="276" w:lineRule="auto"/>
        <w:ind w:left="141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>- instrukcja serwisowania w przypadku nieprawidłowego działania oprawy oświetleniowej</w:t>
      </w:r>
    </w:p>
    <w:p w14:paraId="6897D930" w14:textId="77777777" w:rsidR="000F2689" w:rsidRPr="00FF3710" w:rsidRDefault="000F2689" w:rsidP="000F2689">
      <w:pPr>
        <w:autoSpaceDE w:val="0"/>
        <w:spacing w:after="0" w:line="276" w:lineRule="auto"/>
        <w:ind w:left="141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 xml:space="preserve">- lista części zamiennych wraz z kodami producenta  </w:t>
      </w:r>
    </w:p>
    <w:p w14:paraId="2473EF0A" w14:textId="77777777" w:rsidR="000F2689" w:rsidRPr="00FF3710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3710">
        <w:rPr>
          <w:rFonts w:ascii="Times New Roman" w:eastAsia="Arial" w:hAnsi="Times New Roman" w:cs="Times New Roman"/>
          <w:sz w:val="24"/>
          <w:szCs w:val="24"/>
        </w:rPr>
        <w:t xml:space="preserve">Ze względów estetycznych i dla ujednolicenia wyglądu instalacji oświetleniowej wymaga się, aby oprawy danego rodzaju (np. drogowe) o różnych mocach posiadały jednakowy kształt (jedna rodzina opraw). </w:t>
      </w:r>
    </w:p>
    <w:p w14:paraId="0EA61BFE" w14:textId="77777777" w:rsidR="000F2689" w:rsidRPr="00CA6A54" w:rsidRDefault="000F2689" w:rsidP="000F2689">
      <w:p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58C8C15" w14:textId="77777777" w:rsidR="000F2689" w:rsidRPr="009F388A" w:rsidRDefault="000F2689" w:rsidP="000F2689">
      <w:pPr>
        <w:autoSpaceDE w:val="0"/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F388A">
        <w:rPr>
          <w:rFonts w:ascii="Times New Roman" w:eastAsia="Arial" w:hAnsi="Times New Roman" w:cs="Times New Roman"/>
          <w:b/>
          <w:bCs/>
          <w:sz w:val="24"/>
          <w:szCs w:val="24"/>
        </w:rPr>
        <w:t>PARAMETRY TECHNICZNE OPRAWY PARKOWEJ LED</w:t>
      </w:r>
    </w:p>
    <w:p w14:paraId="4BE6CCEE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Budowa oprawy: dwukomorowa (termiczne rozdzielenie pomiędzy układem zasilającym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F388A">
        <w:rPr>
          <w:rFonts w:ascii="Times New Roman" w:eastAsia="Arial" w:hAnsi="Times New Roman" w:cs="Times New Roman"/>
          <w:sz w:val="24"/>
          <w:szCs w:val="24"/>
        </w:rPr>
        <w:t>a układem optycznym)</w:t>
      </w:r>
    </w:p>
    <w:p w14:paraId="7050B55A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Materiał korpusu oraz pokrywy: wysokociśnieniowy odlew aluminiowy malowany proszkowo na wybrany kolor z ogólnodostępnej palety</w:t>
      </w:r>
    </w:p>
    <w:p w14:paraId="634A374D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Wnętrze komory optycznej, komory elektrycznej oraz elementy oprawy (np. pokrywa, uchwyt montażowy) zabezpieczone przed korozją powłoką lakierniczą. Nie dopuszcza się surowego materiału</w:t>
      </w:r>
    </w:p>
    <w:p w14:paraId="31387DAF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Materiał klosza: Płaskie hartowane szkło</w:t>
      </w:r>
    </w:p>
    <w:p w14:paraId="5F3A6DF3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Stopień odporności klosza na uderzenia mechaniczne: IK08. Wymagany jest raport z badań pochodzący z akredytowanego laboratorium</w:t>
      </w:r>
    </w:p>
    <w:p w14:paraId="5F98F923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Szczelność komory optycznej IP66</w:t>
      </w:r>
    </w:p>
    <w:p w14:paraId="0A9AA935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Szczelność komory elektrycznej IP66</w:t>
      </w:r>
    </w:p>
    <w:p w14:paraId="6A5A0289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Wymagany jest raport z badań szczelności pochodzący z akredytowanego laboratorium</w:t>
      </w:r>
    </w:p>
    <w:p w14:paraId="1A202906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Oprawa przystosowana do montażu na słupie o średnicy Ø60mm (opcjonalnie dostępna w wersji zwieszanej 1”)</w:t>
      </w:r>
    </w:p>
    <w:p w14:paraId="5ED28A31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Oprawa musi spełniać wymagania wibracyjne IEC 60068-2-6. Wymagany jest raport z badań pochodzący z akredytowanego laboratorium</w:t>
      </w:r>
    </w:p>
    <w:p w14:paraId="4E0C70C9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Oprawa wyposażona w system regulacji ciśnienia wewnątrz oprawy, zapobiegający zjawisku kondensacji pary wodnej w komorze elektrycznej</w:t>
      </w:r>
    </w:p>
    <w:p w14:paraId="4E4FB9F1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Oprawa wykonana w technologii LED, bryła fotometryczna kształtowana za pomocą płaskiej wielosoczewkowej matrycy LED. Każda z soczewek matrycy emituje taką samą krzywą światłości, a całkowity strumień oprawy jest sumą strumieni poszczególnych soczewek</w:t>
      </w:r>
    </w:p>
    <w:p w14:paraId="639D341B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Temperatura barwowa źródeł światła: 4000K ±10%</w:t>
      </w:r>
    </w:p>
    <w:p w14:paraId="20E4DCAE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Oprawy muszą spełniać wymagania normy EN 62471 „Bezpieczeństwo fotobiologiczne lamp i systemów lampowych”</w:t>
      </w:r>
    </w:p>
    <w:p w14:paraId="06F2D622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Trwałość strumienia światła oprawy mierzona parametrem L90B10 dla temperatury T</w:t>
      </w:r>
      <w:r w:rsidRPr="009F388A">
        <w:rPr>
          <w:rFonts w:ascii="Times New Roman" w:eastAsia="Arial" w:hAnsi="Times New Roman" w:cs="Times New Roman"/>
          <w:sz w:val="24"/>
          <w:szCs w:val="24"/>
          <w:vertAlign w:val="subscript"/>
        </w:rPr>
        <w:t xml:space="preserve">C </w:t>
      </w:r>
      <w:r w:rsidRPr="009F388A">
        <w:rPr>
          <w:rFonts w:ascii="Times New Roman" w:eastAsia="Arial" w:hAnsi="Times New Roman" w:cs="Times New Roman"/>
          <w:sz w:val="24"/>
          <w:szCs w:val="24"/>
        </w:rPr>
        <w:t xml:space="preserve">= 105°C min. 100 000h (zgodnie z IES LM-80 TM-21) </w:t>
      </w:r>
    </w:p>
    <w:p w14:paraId="2D0D7E71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lastRenderedPageBreak/>
        <w:t>Wartości wskaźnika udziału światła wysyłanego ku górze (ULOR) nie większa niż określona w Rozporządzeniu WE nr 245/2009</w:t>
      </w:r>
    </w:p>
    <w:p w14:paraId="79B86F58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Oprawa wyposażona w zabezpieczenie przed przepięciami 10kV przed zasilaczem</w:t>
      </w:r>
    </w:p>
    <w:p w14:paraId="339468F2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 xml:space="preserve">Oprawa wyposażona w niskonapięciowe gniazdo </w:t>
      </w:r>
      <w:proofErr w:type="spellStart"/>
      <w:r w:rsidRPr="009F388A">
        <w:rPr>
          <w:rFonts w:ascii="Times New Roman" w:eastAsia="Arial" w:hAnsi="Times New Roman" w:cs="Times New Roman"/>
          <w:sz w:val="24"/>
          <w:szCs w:val="24"/>
        </w:rPr>
        <w:t>Zhaga</w:t>
      </w:r>
      <w:proofErr w:type="spellEnd"/>
      <w:r w:rsidRPr="009F388A">
        <w:rPr>
          <w:rFonts w:ascii="Times New Roman" w:eastAsia="Arial" w:hAnsi="Times New Roman" w:cs="Times New Roman"/>
          <w:sz w:val="24"/>
          <w:szCs w:val="24"/>
        </w:rPr>
        <w:t xml:space="preserve"> i zgodna ze standaryzacją D4i zasilający zgodny </w:t>
      </w:r>
    </w:p>
    <w:p w14:paraId="5F8AEDFE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 xml:space="preserve">Oprawa wykonana w II klasie ochronności elektrycznej, znamionowe napięcie zasilania 220-240 V / 50-60 </w:t>
      </w:r>
      <w:proofErr w:type="spellStart"/>
      <w:r w:rsidRPr="009F388A">
        <w:rPr>
          <w:rFonts w:ascii="Times New Roman" w:eastAsia="Arial" w:hAnsi="Times New Roman" w:cs="Times New Roman"/>
          <w:sz w:val="24"/>
          <w:szCs w:val="24"/>
        </w:rPr>
        <w:t>Hz</w:t>
      </w:r>
      <w:proofErr w:type="spellEnd"/>
      <w:r w:rsidRPr="009F388A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6FD9208F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Oprawa musi być oznakowana znakiem CE oraz  posiadać deklarację zgodności  </w:t>
      </w:r>
    </w:p>
    <w:p w14:paraId="77C2EE61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 xml:space="preserve">Oprawa musi posiadać deklarację środowiskową (ang. PEP - Product </w:t>
      </w:r>
      <w:proofErr w:type="spellStart"/>
      <w:r w:rsidRPr="009F388A">
        <w:rPr>
          <w:rFonts w:ascii="Times New Roman" w:eastAsia="Arial" w:hAnsi="Times New Roman" w:cs="Times New Roman"/>
          <w:sz w:val="24"/>
          <w:szCs w:val="24"/>
        </w:rPr>
        <w:t>Environmental</w:t>
      </w:r>
      <w:proofErr w:type="spellEnd"/>
      <w:r w:rsidRPr="009F388A">
        <w:rPr>
          <w:rFonts w:ascii="Times New Roman" w:eastAsia="Arial" w:hAnsi="Times New Roman" w:cs="Times New Roman"/>
          <w:sz w:val="24"/>
          <w:szCs w:val="24"/>
        </w:rPr>
        <w:t xml:space="preserve"> Profile) zgodnie z ISO 14040:2006 oraz EN 15804:2012 + A2:2019, potwierdzoną przez uprawnioną jednostkę badawczą</w:t>
      </w:r>
    </w:p>
    <w:p w14:paraId="0C3FF6C1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Oprawa musi posiadać aktualny certyfikat akredytowanego ośrodka badawczego potwierdzający wykonanie wyrobu zgodnie z Normami zharmonizowanymi z Dyrektywą LVD (PN-EN 60598-1/PN-EN 60598-2-3) oraz zachowanie reżimów produkcji i jej powtarzalności, zgodnie z Typem 5 wg ISO/IEC 17067 - certyfikat ENEC lub równoważny</w:t>
      </w:r>
    </w:p>
    <w:p w14:paraId="0CE9F2CE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Oprawa musi posiadać aktualny certyfikat akredytowanego ośrodka badawczego potwierdzający wiarygodność podawanych  przez producenta parametrów funkcjonalnych deklarowanych w momencie wprowadzenia wyrobu do obrotu, takich jak: napięcie zasilania, klasa ochronności elektrycznej, pobierana moc, skuteczność świetlna, temperatura barwowa,  strumień świetlny - certyfikat ENEC+ lub równoważny</w:t>
      </w:r>
    </w:p>
    <w:p w14:paraId="06146E27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 xml:space="preserve">Oprawa musi posiadać certyfikat Zhaga-D4i, publikowany na oficjalnej stronie ZHAGA </w:t>
      </w:r>
      <w:proofErr w:type="spellStart"/>
      <w:r w:rsidRPr="009F388A">
        <w:rPr>
          <w:rFonts w:ascii="Times New Roman" w:eastAsia="Arial" w:hAnsi="Times New Roman" w:cs="Times New Roman"/>
          <w:sz w:val="24"/>
          <w:szCs w:val="24"/>
        </w:rPr>
        <w:t>Consortium</w:t>
      </w:r>
      <w:proofErr w:type="spellEnd"/>
    </w:p>
    <w:p w14:paraId="58D2932D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Dostępność plików fotometrycznych (np. format .</w:t>
      </w:r>
      <w:proofErr w:type="spellStart"/>
      <w:r w:rsidRPr="009F388A">
        <w:rPr>
          <w:rFonts w:ascii="Times New Roman" w:eastAsia="Arial" w:hAnsi="Times New Roman" w:cs="Times New Roman"/>
          <w:sz w:val="24"/>
          <w:szCs w:val="24"/>
        </w:rPr>
        <w:t>Ldt</w:t>
      </w:r>
      <w:proofErr w:type="spellEnd"/>
      <w:r w:rsidRPr="009F388A">
        <w:rPr>
          <w:rFonts w:ascii="Times New Roman" w:eastAsia="Arial" w:hAnsi="Times New Roman" w:cs="Times New Roman"/>
          <w:sz w:val="24"/>
          <w:szCs w:val="24"/>
        </w:rPr>
        <w:t>, .</w:t>
      </w:r>
      <w:proofErr w:type="spellStart"/>
      <w:r w:rsidRPr="009F388A">
        <w:rPr>
          <w:rFonts w:ascii="Times New Roman" w:eastAsia="Arial" w:hAnsi="Times New Roman" w:cs="Times New Roman"/>
          <w:sz w:val="24"/>
          <w:szCs w:val="24"/>
        </w:rPr>
        <w:t>les</w:t>
      </w:r>
      <w:proofErr w:type="spellEnd"/>
      <w:r w:rsidRPr="009F388A">
        <w:rPr>
          <w:rFonts w:ascii="Times New Roman" w:eastAsia="Arial" w:hAnsi="Times New Roman" w:cs="Times New Roman"/>
          <w:sz w:val="24"/>
          <w:szCs w:val="24"/>
        </w:rPr>
        <w:t xml:space="preserve">). Pliki zamieszczone na stronie internetowej producenta lub dystrybutora pozwalające wykonać sprawdzające obliczenia fotometryczne w ogólnodostępnych oświetleniowych programach komputerowych (np. </w:t>
      </w:r>
      <w:proofErr w:type="spellStart"/>
      <w:r w:rsidRPr="009F388A">
        <w:rPr>
          <w:rFonts w:ascii="Times New Roman" w:eastAsia="Arial" w:hAnsi="Times New Roman" w:cs="Times New Roman"/>
          <w:sz w:val="24"/>
          <w:szCs w:val="24"/>
        </w:rPr>
        <w:t>Dialux</w:t>
      </w:r>
      <w:proofErr w:type="spellEnd"/>
      <w:r w:rsidRPr="009F388A">
        <w:rPr>
          <w:rFonts w:ascii="Times New Roman" w:eastAsia="Arial" w:hAnsi="Times New Roman" w:cs="Times New Roman"/>
          <w:sz w:val="24"/>
          <w:szCs w:val="24"/>
        </w:rPr>
        <w:t xml:space="preserve">, </w:t>
      </w:r>
      <w:proofErr w:type="spellStart"/>
      <w:r w:rsidRPr="009F388A">
        <w:rPr>
          <w:rFonts w:ascii="Times New Roman" w:eastAsia="Arial" w:hAnsi="Times New Roman" w:cs="Times New Roman"/>
          <w:sz w:val="24"/>
          <w:szCs w:val="24"/>
        </w:rPr>
        <w:t>Relux</w:t>
      </w:r>
      <w:proofErr w:type="spellEnd"/>
      <w:r w:rsidRPr="009F388A">
        <w:rPr>
          <w:rFonts w:ascii="Times New Roman" w:eastAsia="Arial" w:hAnsi="Times New Roman" w:cs="Times New Roman"/>
          <w:sz w:val="24"/>
          <w:szCs w:val="24"/>
        </w:rPr>
        <w:t>)</w:t>
      </w:r>
    </w:p>
    <w:p w14:paraId="21650A5A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Oprawa wyposażona w etykietę z kodem QR wraz z dodatkową naklejką do umieszczenia np. we wnęce słupowej i/lub na projekcie. Kod QR poprzez użycie dedykowanej aplikacji producenta umożliwia uzyskanie pełnej charakterystyki oprawy i dostęp do informacji takich jak:</w:t>
      </w:r>
    </w:p>
    <w:p w14:paraId="3C4AF2D7" w14:textId="77777777" w:rsidR="000F2689" w:rsidRPr="009F388A" w:rsidRDefault="000F2689" w:rsidP="000F2689">
      <w:pPr>
        <w:autoSpaceDE w:val="0"/>
        <w:spacing w:after="0" w:line="276" w:lineRule="auto"/>
        <w:ind w:left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- parametry fotometryczne, elektryczne oraz mechaniczne</w:t>
      </w:r>
    </w:p>
    <w:p w14:paraId="2252FB46" w14:textId="77777777" w:rsidR="000F2689" w:rsidRPr="009F388A" w:rsidRDefault="000F2689" w:rsidP="000F2689">
      <w:pPr>
        <w:autoSpaceDE w:val="0"/>
        <w:spacing w:after="0" w:line="276" w:lineRule="auto"/>
        <w:ind w:left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- dokumentacja oprawy, instrukcja montażu</w:t>
      </w:r>
    </w:p>
    <w:p w14:paraId="647E65BF" w14:textId="77777777" w:rsidR="000F2689" w:rsidRPr="009F388A" w:rsidRDefault="000F2689" w:rsidP="000F2689">
      <w:pPr>
        <w:autoSpaceDE w:val="0"/>
        <w:spacing w:after="0" w:line="276" w:lineRule="auto"/>
        <w:ind w:left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>- instrukcja serwisowania w przypadku nieprawidłowego działania oprawy oświetleniowej</w:t>
      </w:r>
    </w:p>
    <w:p w14:paraId="60124EDD" w14:textId="77777777" w:rsidR="000F2689" w:rsidRPr="009F388A" w:rsidRDefault="000F2689" w:rsidP="000F2689">
      <w:pPr>
        <w:autoSpaceDE w:val="0"/>
        <w:spacing w:after="0" w:line="276" w:lineRule="auto"/>
        <w:ind w:left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t xml:space="preserve">- lista części zamiennych wraz z kodami producenta  </w:t>
      </w:r>
    </w:p>
    <w:p w14:paraId="39686581" w14:textId="77777777" w:rsidR="000F2689" w:rsidRDefault="000F2689" w:rsidP="000F2689">
      <w:pPr>
        <w:suppressAutoHyphens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br w:type="page"/>
      </w:r>
    </w:p>
    <w:p w14:paraId="750ACAF2" w14:textId="77777777" w:rsidR="000F2689" w:rsidRPr="009F388A" w:rsidRDefault="000F2689" w:rsidP="000F2689">
      <w:pPr>
        <w:numPr>
          <w:ilvl w:val="0"/>
          <w:numId w:val="17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88A">
        <w:rPr>
          <w:rFonts w:ascii="Times New Roman" w:eastAsia="Arial" w:hAnsi="Times New Roman" w:cs="Times New Roman"/>
          <w:sz w:val="24"/>
          <w:szCs w:val="24"/>
        </w:rPr>
        <w:lastRenderedPageBreak/>
        <w:t>Wygląd, styl i wielkość oprawy zgodny z cechami wzorniczymi umieszczonymi poniżej. Dopuszczalna tolerancja wymiarów ±5% pod warunkiem zachowania proporcji oraz kształtu</w:t>
      </w:r>
    </w:p>
    <w:p w14:paraId="3A1891E3" w14:textId="77777777" w:rsidR="000F2689" w:rsidRPr="009F388A" w:rsidRDefault="000F2689" w:rsidP="000F2689">
      <w:p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4981"/>
      </w:tblGrid>
      <w:tr w:rsidR="000F2689" w:rsidRPr="004261E7" w14:paraId="00F3BD55" w14:textId="77777777" w:rsidTr="00AF1080">
        <w:trPr>
          <w:trHeight w:val="3555"/>
          <w:jc w:val="center"/>
        </w:trPr>
        <w:tc>
          <w:tcPr>
            <w:tcW w:w="1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18190" w14:textId="77777777" w:rsidR="000F2689" w:rsidRPr="004261E7" w:rsidRDefault="000F2689" w:rsidP="00AF1080">
            <w:pPr>
              <w:autoSpaceDE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4261E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Wygląd</w:t>
            </w:r>
          </w:p>
        </w:tc>
        <w:tc>
          <w:tcPr>
            <w:tcW w:w="4981" w:type="dxa"/>
            <w:shd w:val="clear" w:color="auto" w:fill="auto"/>
            <w:vAlign w:val="center"/>
          </w:tcPr>
          <w:p w14:paraId="5DF451D2" w14:textId="77777777" w:rsidR="000F2689" w:rsidRPr="004261E7" w:rsidRDefault="000F2689" w:rsidP="00AF1080">
            <w:pPr>
              <w:autoSpaceDE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2975A9" wp14:editId="2D938733">
                  <wp:extent cx="2638425" cy="2209800"/>
                  <wp:effectExtent l="0" t="0" r="0" b="0"/>
                  <wp:docPr id="2" name="Obraz 1" descr="Opis: Obraz zawierający szkic, rysowanie, design, sztu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pis: Obraz zawierający szkic, rysowanie, design, sztuk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689" w:rsidRPr="004261E7" w14:paraId="0D4D45E2" w14:textId="77777777" w:rsidTr="00AF1080">
        <w:trPr>
          <w:trHeight w:val="375"/>
          <w:jc w:val="center"/>
        </w:trPr>
        <w:tc>
          <w:tcPr>
            <w:tcW w:w="1810" w:type="dxa"/>
            <w:shd w:val="clear" w:color="auto" w:fill="auto"/>
            <w:vAlign w:val="center"/>
          </w:tcPr>
          <w:p w14:paraId="21B329C4" w14:textId="77777777" w:rsidR="000F2689" w:rsidRPr="004261E7" w:rsidRDefault="000F2689" w:rsidP="00AF1080">
            <w:pPr>
              <w:autoSpaceDE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4261E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Wymiary</w:t>
            </w:r>
          </w:p>
        </w:tc>
        <w:tc>
          <w:tcPr>
            <w:tcW w:w="4981" w:type="dxa"/>
            <w:shd w:val="clear" w:color="auto" w:fill="auto"/>
            <w:vAlign w:val="center"/>
          </w:tcPr>
          <w:p w14:paraId="71560D68" w14:textId="77777777" w:rsidR="000F2689" w:rsidRPr="004261E7" w:rsidRDefault="000F2689" w:rsidP="00AF1080">
            <w:pPr>
              <w:autoSpaceDE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4261E7">
              <w:rPr>
                <w:rFonts w:ascii="Times New Roman" w:eastAsia="Arial" w:hAnsi="Times New Roman" w:cs="Times New Roman"/>
                <w:sz w:val="24"/>
                <w:szCs w:val="24"/>
              </w:rPr>
              <w:t>AxBxC</w:t>
            </w:r>
            <w:proofErr w:type="spellEnd"/>
            <w:r w:rsidRPr="004261E7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(mm): 370x700x370</w:t>
            </w:r>
          </w:p>
        </w:tc>
      </w:tr>
    </w:tbl>
    <w:p w14:paraId="687EAAF8" w14:textId="77777777" w:rsidR="000F2689" w:rsidRPr="009F388A" w:rsidRDefault="000F2689" w:rsidP="000F2689">
      <w:p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E71CAF4" w14:textId="77777777" w:rsidR="000F2689" w:rsidRPr="00CA6A54" w:rsidRDefault="000F2689" w:rsidP="000F2689">
      <w:p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E83CAD5" w14:textId="77777777" w:rsidR="000F2689" w:rsidRPr="005B73E5" w:rsidRDefault="000F2689" w:rsidP="000F2689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5B73E5">
        <w:rPr>
          <w:rFonts w:ascii="Times New Roman" w:hAnsi="Times New Roman" w:cs="Times New Roman"/>
          <w:sz w:val="24"/>
          <w:szCs w:val="24"/>
        </w:rPr>
        <w:t>PARAMETRY TECHNICZNE NAŚWIETLACZA</w:t>
      </w:r>
    </w:p>
    <w:p w14:paraId="31091F34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Materiał korpusu – Odlew aluminium</w:t>
      </w:r>
    </w:p>
    <w:p w14:paraId="45FECEDA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Materiał klosza – Szkło hartowane</w:t>
      </w:r>
    </w:p>
    <w:p w14:paraId="5B526D8A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Uchwyt montażowy w kształcie „U”, umożliwiający regulację kąta nachylenia oprawy</w:t>
      </w:r>
    </w:p>
    <w:p w14:paraId="04413A00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Stopień odporności klosza na uderzenia mechaniczne – IK08</w:t>
      </w:r>
    </w:p>
    <w:p w14:paraId="555AD6EF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Szczelność oprawy  – IP66</w:t>
      </w:r>
    </w:p>
    <w:p w14:paraId="18F46CDD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 xml:space="preserve">Dostęp do komory osprzętu odbywa się w sposób </w:t>
      </w:r>
      <w:proofErr w:type="spellStart"/>
      <w:r w:rsidRPr="005B73E5">
        <w:rPr>
          <w:rFonts w:ascii="Times New Roman" w:hAnsi="Times New Roman"/>
          <w:sz w:val="24"/>
          <w:szCs w:val="24"/>
        </w:rPr>
        <w:t>beznarzędziowy</w:t>
      </w:r>
      <w:proofErr w:type="spellEnd"/>
      <w:r w:rsidRPr="005B73E5">
        <w:rPr>
          <w:rFonts w:ascii="Times New Roman" w:hAnsi="Times New Roman"/>
          <w:sz w:val="24"/>
          <w:szCs w:val="24"/>
        </w:rPr>
        <w:t xml:space="preserve"> za pomocą klamry</w:t>
      </w:r>
    </w:p>
    <w:p w14:paraId="74010C2F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Oprawa wyposażona w system regulacji ciśnienia wewnątrz oprawy, zapobiegający zjawisku kondensacji pary wodnej w komorze elektrycznej</w:t>
      </w:r>
    </w:p>
    <w:p w14:paraId="673D663A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 xml:space="preserve">Oprawa wykonana w technologii LED, bryła fotometryczna kształtowana za pomocą płaskiej wielosoczewkowej matrycy LED </w:t>
      </w:r>
    </w:p>
    <w:p w14:paraId="3987A25A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Temperatura barwowa źródeł światła: 4000K ±10%</w:t>
      </w:r>
    </w:p>
    <w:p w14:paraId="236C2406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Oprawy muszą spełniać wymagania normy EN 62471 „Bezpieczeństwo fotobiologiczne lamp i systemów lampowych”</w:t>
      </w:r>
    </w:p>
    <w:p w14:paraId="06AEBF0B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color w:val="00B0F0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Trwałość strumienia światła oprawy mierzona parametrem L90B10 dla temperatury T</w:t>
      </w:r>
      <w:r w:rsidRPr="005B73E5">
        <w:rPr>
          <w:rFonts w:ascii="Times New Roman" w:hAnsi="Times New Roman"/>
          <w:sz w:val="24"/>
          <w:szCs w:val="24"/>
          <w:vertAlign w:val="subscript"/>
        </w:rPr>
        <w:t xml:space="preserve">C </w:t>
      </w:r>
      <w:r w:rsidRPr="005B73E5">
        <w:rPr>
          <w:rFonts w:ascii="Times New Roman" w:hAnsi="Times New Roman"/>
          <w:sz w:val="24"/>
          <w:szCs w:val="24"/>
        </w:rPr>
        <w:t xml:space="preserve">= 105°C min. 100 000h (zgodnie z IES LM-80 TM-21) </w:t>
      </w:r>
    </w:p>
    <w:p w14:paraId="78E3B9B2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Wartości wskaźnika udziału światła wysyłanego ku górze (ULOR) nie większa niż określona w Rozporządzeniu WE nr 245/2009</w:t>
      </w:r>
    </w:p>
    <w:p w14:paraId="5357E46A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contextualSpacing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Oprawa wyposażona w zabezpieczenie przed przepięciami 10kV przed zasilaczem</w:t>
      </w:r>
    </w:p>
    <w:p w14:paraId="6DE28EFF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contextualSpacing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 xml:space="preserve">Oprawa wyposażona w niskonapięciowe gniazdo </w:t>
      </w:r>
      <w:proofErr w:type="spellStart"/>
      <w:r w:rsidRPr="005B73E5">
        <w:rPr>
          <w:rFonts w:ascii="Times New Roman" w:hAnsi="Times New Roman"/>
          <w:sz w:val="24"/>
          <w:szCs w:val="24"/>
        </w:rPr>
        <w:t>Zhaga</w:t>
      </w:r>
      <w:proofErr w:type="spellEnd"/>
      <w:r w:rsidRPr="005B73E5">
        <w:rPr>
          <w:rFonts w:ascii="Times New Roman" w:hAnsi="Times New Roman"/>
          <w:sz w:val="24"/>
          <w:szCs w:val="24"/>
        </w:rPr>
        <w:t xml:space="preserve"> i zgodna ze standaryzacją D4i zasilający zgodny </w:t>
      </w:r>
    </w:p>
    <w:p w14:paraId="2794BA55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 xml:space="preserve">Oprawa wykonana w II klasie ochronności elektrycznej, znamionowe napięcie zasilania 220-240 V / 50-60 </w:t>
      </w:r>
      <w:proofErr w:type="spellStart"/>
      <w:r w:rsidRPr="005B73E5">
        <w:rPr>
          <w:rFonts w:ascii="Times New Roman" w:hAnsi="Times New Roman"/>
          <w:sz w:val="24"/>
          <w:szCs w:val="24"/>
        </w:rPr>
        <w:t>Hz</w:t>
      </w:r>
      <w:proofErr w:type="spellEnd"/>
      <w:r w:rsidRPr="005B73E5">
        <w:rPr>
          <w:rFonts w:ascii="Times New Roman" w:hAnsi="Times New Roman"/>
          <w:sz w:val="24"/>
          <w:szCs w:val="24"/>
        </w:rPr>
        <w:t xml:space="preserve"> </w:t>
      </w:r>
    </w:p>
    <w:p w14:paraId="0FBD25B9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Oprawa musi być oznakowana znakiem CE oraz posiadać deklarację zgodności  </w:t>
      </w:r>
    </w:p>
    <w:p w14:paraId="665CF1B0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 xml:space="preserve">Oprawa musi posiadać deklarację środowiskową (ang. PEP - Product </w:t>
      </w:r>
      <w:proofErr w:type="spellStart"/>
      <w:r w:rsidRPr="005B73E5">
        <w:rPr>
          <w:rFonts w:ascii="Times New Roman" w:hAnsi="Times New Roman"/>
          <w:sz w:val="24"/>
          <w:szCs w:val="24"/>
        </w:rPr>
        <w:t>Environmental</w:t>
      </w:r>
      <w:proofErr w:type="spellEnd"/>
      <w:r w:rsidRPr="005B73E5">
        <w:rPr>
          <w:rFonts w:ascii="Times New Roman" w:hAnsi="Times New Roman"/>
          <w:sz w:val="24"/>
          <w:szCs w:val="24"/>
        </w:rPr>
        <w:t xml:space="preserve"> Profile) zgodnie z ISO 14040:2006 oraz EN 15804:2012 + A2:2019, potwierdzoną przez uprawnioną jednostkę badawczą</w:t>
      </w:r>
    </w:p>
    <w:p w14:paraId="16B0D1B8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lastRenderedPageBreak/>
        <w:t>Oprawa musi posiadać aktualny certyfikat akredytowanego ośrodka badawczego potwierdzający wykonanie wyrobu zgodnie z Normami zharmonizowanymi z Dyrektywą LVD (PN-EN 60598-1/PN-EN 60598-2-3) oraz zachowanie reżimów produkcji i jej powtarzalności, zgodnie z Typem 5 wg ISO/IEC 17067 - certyfikat ENEC lub równoważny</w:t>
      </w:r>
    </w:p>
    <w:p w14:paraId="186A3F16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Oprawa musi posiadać aktualny certyfikat akredytowanego ośrodka badawczego potwierdzający wiarygodność podawanych przez producenta parametrów funkcjonalnych deklarowanych w momencie wprowadzenia wyrobu do obrotu, takich jak: napięcie zasilania, klasa ochronności elektrycznej, pobierana moc, skuteczność świetlna, temperatura barwowa, strumień świetlny - certyfikat ENEC+ lub równoważny</w:t>
      </w:r>
    </w:p>
    <w:p w14:paraId="3F02EE28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 xml:space="preserve">Oprawa musi posiadać certyfikat Zhaga-D4i, publikowany na oficjalnej stronie ZHAGA </w:t>
      </w:r>
      <w:proofErr w:type="spellStart"/>
      <w:r w:rsidRPr="005B73E5">
        <w:rPr>
          <w:rFonts w:ascii="Times New Roman" w:hAnsi="Times New Roman"/>
          <w:sz w:val="24"/>
          <w:szCs w:val="24"/>
        </w:rPr>
        <w:t>Consortium</w:t>
      </w:r>
      <w:proofErr w:type="spellEnd"/>
    </w:p>
    <w:p w14:paraId="6E775317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Dostępność plików fotometrycznych (np. format .</w:t>
      </w:r>
      <w:proofErr w:type="spellStart"/>
      <w:r w:rsidRPr="005B73E5">
        <w:rPr>
          <w:rFonts w:ascii="Times New Roman" w:hAnsi="Times New Roman"/>
          <w:sz w:val="24"/>
          <w:szCs w:val="24"/>
        </w:rPr>
        <w:t>Ldt</w:t>
      </w:r>
      <w:proofErr w:type="spellEnd"/>
      <w:r w:rsidRPr="005B73E5">
        <w:rPr>
          <w:rFonts w:ascii="Times New Roman" w:hAnsi="Times New Roman"/>
          <w:sz w:val="24"/>
          <w:szCs w:val="24"/>
        </w:rPr>
        <w:t>, .</w:t>
      </w:r>
      <w:proofErr w:type="spellStart"/>
      <w:r w:rsidRPr="005B73E5">
        <w:rPr>
          <w:rFonts w:ascii="Times New Roman" w:hAnsi="Times New Roman"/>
          <w:sz w:val="24"/>
          <w:szCs w:val="24"/>
        </w:rPr>
        <w:t>les</w:t>
      </w:r>
      <w:proofErr w:type="spellEnd"/>
      <w:r w:rsidRPr="005B73E5">
        <w:rPr>
          <w:rFonts w:ascii="Times New Roman" w:hAnsi="Times New Roman"/>
          <w:sz w:val="24"/>
          <w:szCs w:val="24"/>
        </w:rPr>
        <w:t xml:space="preserve">). Pliki zamieszczone na stronie internetowej producenta lub dystrybutora pozwalające wykonać sprawdzające obliczenia fotometryczne w ogólnodostępnych oświetleniowych programach komputerowych (np. </w:t>
      </w:r>
      <w:proofErr w:type="spellStart"/>
      <w:r w:rsidRPr="005B73E5">
        <w:rPr>
          <w:rFonts w:ascii="Times New Roman" w:hAnsi="Times New Roman"/>
          <w:sz w:val="24"/>
          <w:szCs w:val="24"/>
        </w:rPr>
        <w:t>Dialux</w:t>
      </w:r>
      <w:proofErr w:type="spellEnd"/>
      <w:r w:rsidRPr="005B73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73E5">
        <w:rPr>
          <w:rFonts w:ascii="Times New Roman" w:hAnsi="Times New Roman"/>
          <w:sz w:val="24"/>
          <w:szCs w:val="24"/>
        </w:rPr>
        <w:t>Relux</w:t>
      </w:r>
      <w:proofErr w:type="spellEnd"/>
      <w:r w:rsidRPr="005B73E5">
        <w:rPr>
          <w:rFonts w:ascii="Times New Roman" w:hAnsi="Times New Roman"/>
          <w:sz w:val="24"/>
          <w:szCs w:val="24"/>
        </w:rPr>
        <w:t>)</w:t>
      </w:r>
    </w:p>
    <w:p w14:paraId="72BB7C09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Oprawa wyposażona w etykietę z kodem QR wraz z dodatkową naklejką do umieszczenia np. we wnęce słupowej i/lub na projekcie. Kod QR poprzez użycie dedykowanej aplikacji producenta umożliwia uzyskanie pełnej charakterystyki oprawy i dostęp do informacji takich jak:</w:t>
      </w:r>
    </w:p>
    <w:p w14:paraId="1D9247A7" w14:textId="77777777" w:rsidR="000F2689" w:rsidRPr="005B73E5" w:rsidRDefault="000F2689" w:rsidP="000F2689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- parametry fotometryczne, elektryczne oraz mechaniczne</w:t>
      </w:r>
    </w:p>
    <w:p w14:paraId="0FD3982E" w14:textId="77777777" w:rsidR="000F2689" w:rsidRPr="005B73E5" w:rsidRDefault="000F2689" w:rsidP="000F2689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- dokumentacja oprawy, instrukcja montażu</w:t>
      </w:r>
    </w:p>
    <w:p w14:paraId="4381CD44" w14:textId="77777777" w:rsidR="000F2689" w:rsidRPr="005B73E5" w:rsidRDefault="000F2689" w:rsidP="000F2689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- instrukcja serwisowania w przypadku nieprawidłowego działania oprawy oświetleniowej</w:t>
      </w:r>
    </w:p>
    <w:p w14:paraId="65AC7827" w14:textId="77777777" w:rsidR="000F2689" w:rsidRPr="005B73E5" w:rsidRDefault="000F2689" w:rsidP="000F2689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 xml:space="preserve">- lista części zamiennych wraz z kodami producenta  </w:t>
      </w:r>
    </w:p>
    <w:p w14:paraId="694B94A1" w14:textId="3878D84A" w:rsidR="000F2689" w:rsidRPr="00495F41" w:rsidRDefault="000F2689" w:rsidP="00495F41">
      <w:pPr>
        <w:pStyle w:val="Akapitzlist"/>
        <w:numPr>
          <w:ilvl w:val="0"/>
          <w:numId w:val="17"/>
        </w:numPr>
        <w:autoSpaceDN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Ze względu na gwarancję i konserwację wymaga się aby wszystkie oprawy (drogowe i stylizowane) pochodziły od jednego producenta.</w:t>
      </w:r>
    </w:p>
    <w:p w14:paraId="1391C67F" w14:textId="77777777" w:rsidR="000F2689" w:rsidRPr="005B73E5" w:rsidRDefault="000F2689" w:rsidP="000F2689">
      <w:pPr>
        <w:pStyle w:val="Akapitzlist"/>
        <w:numPr>
          <w:ilvl w:val="0"/>
          <w:numId w:val="17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73E5">
        <w:rPr>
          <w:rFonts w:ascii="Times New Roman" w:hAnsi="Times New Roman"/>
          <w:sz w:val="24"/>
          <w:szCs w:val="24"/>
        </w:rPr>
        <w:t>Wygląd, styl i wielkość oprawy zgodny z cechami wzorniczymi umieszczonymi poniżej. Dopuszczalna tolerancja wymiarów ±5% pod warunkiem zachowania proporcji oraz kształtu</w:t>
      </w:r>
    </w:p>
    <w:p w14:paraId="5A78C017" w14:textId="77777777" w:rsidR="000F2689" w:rsidRPr="009F6457" w:rsidRDefault="000F2689" w:rsidP="000F2689">
      <w:pPr>
        <w:pStyle w:val="Akapitzlist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6"/>
        <w:gridCol w:w="4106"/>
      </w:tblGrid>
      <w:tr w:rsidR="000F2689" w:rsidRPr="008A7C23" w14:paraId="64E0307F" w14:textId="77777777" w:rsidTr="00AF108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56E16E8" w14:textId="77777777" w:rsidR="000F2689" w:rsidRPr="00CD194E" w:rsidRDefault="000F2689" w:rsidP="00AF1080">
            <w:pPr>
              <w:jc w:val="center"/>
              <w:rPr>
                <w:b/>
                <w:bCs/>
                <w:sz w:val="20"/>
                <w:szCs w:val="20"/>
              </w:rPr>
            </w:pPr>
            <w:r w:rsidRPr="00CD194E">
              <w:rPr>
                <w:b/>
                <w:bCs/>
                <w:sz w:val="20"/>
                <w:szCs w:val="20"/>
              </w:rPr>
              <w:t>Wygląd</w:t>
            </w:r>
          </w:p>
        </w:tc>
        <w:tc>
          <w:tcPr>
            <w:tcW w:w="0" w:type="auto"/>
            <w:vAlign w:val="center"/>
          </w:tcPr>
          <w:p w14:paraId="4B71B958" w14:textId="77777777" w:rsidR="000F2689" w:rsidRPr="008A7C23" w:rsidRDefault="000F2689" w:rsidP="00AF1080">
            <w:pPr>
              <w:jc w:val="center"/>
            </w:pPr>
            <w:r>
              <w:rPr>
                <w:noProof/>
              </w:rPr>
              <w:t xml:space="preserve"> </w:t>
            </w:r>
            <w:r w:rsidRPr="00835D17">
              <w:rPr>
                <w:noProof/>
              </w:rPr>
              <w:drawing>
                <wp:inline distT="0" distB="0" distL="0" distR="0" wp14:anchorId="0FB668DA" wp14:editId="4F7E1AC0">
                  <wp:extent cx="2433158" cy="2698750"/>
                  <wp:effectExtent l="0" t="0" r="5715" b="6350"/>
                  <wp:docPr id="1926173083" name="Obraz 1" descr="Obraz zawierający szkic, rysowanie, diagram, design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6173083" name="Obraz 1" descr="Obraz zawierający szkic, rysowanie, diagram, design&#10;&#10;Opis wygenerowany automatyczni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0813" cy="2729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689" w:rsidRPr="00157611" w14:paraId="024D56EB" w14:textId="77777777" w:rsidTr="00AF1080">
        <w:trPr>
          <w:trHeight w:val="20"/>
          <w:jc w:val="center"/>
        </w:trPr>
        <w:tc>
          <w:tcPr>
            <w:tcW w:w="0" w:type="auto"/>
            <w:vAlign w:val="center"/>
          </w:tcPr>
          <w:p w14:paraId="07B15593" w14:textId="77777777" w:rsidR="000F2689" w:rsidRPr="00CD194E" w:rsidRDefault="000F2689" w:rsidP="00AF1080">
            <w:pPr>
              <w:jc w:val="center"/>
              <w:rPr>
                <w:b/>
                <w:bCs/>
                <w:sz w:val="20"/>
                <w:szCs w:val="20"/>
              </w:rPr>
            </w:pPr>
            <w:r w:rsidRPr="00CD194E">
              <w:rPr>
                <w:b/>
                <w:bCs/>
                <w:sz w:val="20"/>
                <w:szCs w:val="20"/>
              </w:rPr>
              <w:t>Wymiary</w:t>
            </w:r>
          </w:p>
        </w:tc>
        <w:tc>
          <w:tcPr>
            <w:tcW w:w="0" w:type="auto"/>
            <w:vAlign w:val="center"/>
          </w:tcPr>
          <w:p w14:paraId="392CAF49" w14:textId="77777777" w:rsidR="000F2689" w:rsidRPr="00157611" w:rsidRDefault="000F2689" w:rsidP="00AF10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A=600mm; B=160mm; C=500mm</w:t>
            </w:r>
          </w:p>
        </w:tc>
      </w:tr>
    </w:tbl>
    <w:p w14:paraId="6C0C2F37" w14:textId="77777777" w:rsidR="000F2689" w:rsidRDefault="000F2689" w:rsidP="000F2689"/>
    <w:p w14:paraId="2A7C3384" w14:textId="77777777" w:rsidR="000F2689" w:rsidRPr="008A6091" w:rsidRDefault="000F2689" w:rsidP="000F2689">
      <w:pPr>
        <w:suppressAutoHyphens w:val="0"/>
        <w:spacing w:after="0" w:line="360" w:lineRule="auto"/>
        <w:ind w:right="18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</w:p>
    <w:p w14:paraId="79D113F5" w14:textId="77777777" w:rsidR="000F2689" w:rsidRPr="008A6091" w:rsidRDefault="000F2689" w:rsidP="000F2689">
      <w:pPr>
        <w:suppressAutoHyphens w:val="0"/>
        <w:spacing w:after="39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  <w:r w:rsidRPr="008A60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Zamawiający zastrzega sobie prawo do żądania okazania dodatkowych dokumentów potwierdzających oferowane parametry techniczno-użytkowe opraw, w tym dostarczenia próbek opraw przed zamontowaniem. Parametry ujęte w dokumentach technicznych (karty, certyfikaty, atesty itp.) muszą być zgodne z danymi technicznymi podawanymi na ogólnodostępnych stronach producentów opraw (budowa, wymiary, skuteczność świetlna, żywotność itp.)</w:t>
      </w:r>
    </w:p>
    <w:p w14:paraId="64F7A95E" w14:textId="77777777" w:rsidR="000F2689" w:rsidRDefault="000F2689" w:rsidP="000F2689">
      <w:pPr>
        <w:pStyle w:val="Standard"/>
        <w:tabs>
          <w:tab w:val="left" w:pos="4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  <w:r w:rsidRPr="008A60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Krzywe światłości i bryły fotometryczne oferowanych opraw użytych do obliczeń muszą być możliwe do pozyskania na ogólnodostępnych stronach producenta opraw, w celu ewentualnej weryfikacji obliczeń.</w:t>
      </w:r>
    </w:p>
    <w:p w14:paraId="1A7715ED" w14:textId="28213DBF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DOBÓR OPRAW</w:t>
      </w:r>
    </w:p>
    <w:p w14:paraId="6590E6F5" w14:textId="183AD809" w:rsidR="00FC5257" w:rsidRPr="00B12260" w:rsidRDefault="00FC5257" w:rsidP="000F2689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Wykonawca zrealizuje dobór i obliczenia opraw bez zastosowania redukcji mocy, zgodnie z PN-EN</w:t>
      </w:r>
      <w:r w:rsidR="00B12260" w:rsidRPr="00B12260">
        <w:rPr>
          <w:rFonts w:ascii="Times New Roman" w:hAnsi="Times New Roman" w:cs="Times New Roman"/>
          <w:sz w:val="24"/>
          <w:szCs w:val="24"/>
        </w:rPr>
        <w:t xml:space="preserve"> </w:t>
      </w:r>
      <w:r w:rsidRPr="00B12260">
        <w:rPr>
          <w:rFonts w:ascii="Times New Roman" w:hAnsi="Times New Roman" w:cs="Times New Roman"/>
          <w:sz w:val="24"/>
          <w:szCs w:val="24"/>
        </w:rPr>
        <w:t>13201:2016, przy zastosowaniu współczynnika utrzymania wartości 0,80.</w:t>
      </w:r>
    </w:p>
    <w:p w14:paraId="02F9383F" w14:textId="53ED9BEA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Sprawdzenie spełnienia wymagań będzie odbywało się na podstawie złożonych przez Wykonawcę dokumentów w postaci kart katalogowych, certyfikatów i deklaracji.</w:t>
      </w:r>
    </w:p>
    <w:p w14:paraId="2DEF8A4D" w14:textId="77777777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Przedmiotowe środki dowodowe dla oprawy oświetleniowej, składane wraz z ofertą:</w:t>
      </w:r>
    </w:p>
    <w:p w14:paraId="59997567" w14:textId="77777777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•</w:t>
      </w:r>
      <w:r w:rsidRPr="00B12260">
        <w:rPr>
          <w:rFonts w:ascii="Times New Roman" w:hAnsi="Times New Roman" w:cs="Times New Roman"/>
          <w:sz w:val="24"/>
          <w:szCs w:val="24"/>
        </w:rPr>
        <w:tab/>
        <w:t>karta katalogowa</w:t>
      </w:r>
    </w:p>
    <w:p w14:paraId="6F39E18F" w14:textId="0DE83218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•</w:t>
      </w:r>
      <w:r w:rsidRPr="00B12260">
        <w:rPr>
          <w:rFonts w:ascii="Times New Roman" w:hAnsi="Times New Roman" w:cs="Times New Roman"/>
          <w:sz w:val="24"/>
          <w:szCs w:val="24"/>
        </w:rPr>
        <w:tab/>
        <w:t>certyfikaty ENEC, ENEC+ wraz z załącznikami oraz wskazaniem adres zakładu produkcyjnego, w którym produkowana jest certyfikowana oprawa</w:t>
      </w:r>
    </w:p>
    <w:p w14:paraId="1A8F0F6E" w14:textId="77777777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•</w:t>
      </w:r>
      <w:r w:rsidRPr="00B12260">
        <w:rPr>
          <w:rFonts w:ascii="Times New Roman" w:hAnsi="Times New Roman" w:cs="Times New Roman"/>
          <w:sz w:val="24"/>
          <w:szCs w:val="24"/>
        </w:rPr>
        <w:tab/>
        <w:t>certyfikat Zhaga-D4i oferowanych opraw</w:t>
      </w:r>
    </w:p>
    <w:p w14:paraId="7D4FB8C3" w14:textId="77777777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•</w:t>
      </w:r>
      <w:r w:rsidRPr="00B12260">
        <w:rPr>
          <w:rFonts w:ascii="Times New Roman" w:hAnsi="Times New Roman" w:cs="Times New Roman"/>
          <w:sz w:val="24"/>
          <w:szCs w:val="24"/>
        </w:rPr>
        <w:tab/>
        <w:t>deklaracja zgodności oferowanych opraw</w:t>
      </w:r>
    </w:p>
    <w:p w14:paraId="76700DD1" w14:textId="77777777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•</w:t>
      </w:r>
      <w:r w:rsidRPr="00B12260">
        <w:rPr>
          <w:rFonts w:ascii="Times New Roman" w:hAnsi="Times New Roman" w:cs="Times New Roman"/>
          <w:sz w:val="24"/>
          <w:szCs w:val="24"/>
        </w:rPr>
        <w:tab/>
        <w:t>obliczenia fotometryczne wraz z wypełnioną Tabelą - Załącznik do oferty – Tabela do obliczeń fotometrycznych</w:t>
      </w:r>
    </w:p>
    <w:p w14:paraId="43CF0A3B" w14:textId="77777777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•</w:t>
      </w:r>
      <w:r w:rsidRPr="00B12260">
        <w:rPr>
          <w:rFonts w:ascii="Times New Roman" w:hAnsi="Times New Roman" w:cs="Times New Roman"/>
          <w:sz w:val="24"/>
          <w:szCs w:val="24"/>
        </w:rPr>
        <w:tab/>
        <w:t>raporty z badań dla szczelności oraz odporności na uderzenia oferowanych opraw</w:t>
      </w:r>
    </w:p>
    <w:p w14:paraId="78C84449" w14:textId="77777777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•</w:t>
      </w:r>
      <w:r w:rsidRPr="00B12260">
        <w:rPr>
          <w:rFonts w:ascii="Times New Roman" w:hAnsi="Times New Roman" w:cs="Times New Roman"/>
          <w:sz w:val="24"/>
          <w:szCs w:val="24"/>
        </w:rPr>
        <w:tab/>
        <w:t>raport z badań dla wibracji oferowanych opraw</w:t>
      </w:r>
    </w:p>
    <w:p w14:paraId="35F08FF8" w14:textId="77777777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•</w:t>
      </w:r>
      <w:r w:rsidRPr="00B12260">
        <w:rPr>
          <w:rFonts w:ascii="Times New Roman" w:hAnsi="Times New Roman" w:cs="Times New Roman"/>
          <w:sz w:val="24"/>
          <w:szCs w:val="24"/>
        </w:rPr>
        <w:tab/>
        <w:t>raport z badań dla trwałości źródeł LED oferowanych opraw</w:t>
      </w:r>
    </w:p>
    <w:p w14:paraId="68CFE2DA" w14:textId="77777777" w:rsidR="00FC5257" w:rsidRPr="00B12260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•</w:t>
      </w:r>
      <w:r w:rsidRPr="00B12260">
        <w:rPr>
          <w:rFonts w:ascii="Times New Roman" w:hAnsi="Times New Roman" w:cs="Times New Roman"/>
          <w:sz w:val="24"/>
          <w:szCs w:val="24"/>
        </w:rPr>
        <w:tab/>
        <w:t>deklaracje środowiskowe dla oferowanych wersji oferowanych opraw</w:t>
      </w:r>
    </w:p>
    <w:p w14:paraId="42642DFA" w14:textId="77777777" w:rsidR="000F2689" w:rsidRDefault="00FC5257" w:rsidP="000F26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0606D5" w14:textId="43B6443A" w:rsidR="00FC5257" w:rsidRPr="00B12260" w:rsidRDefault="00FC5257" w:rsidP="000F268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Dla potwierdzenia osiągnięcia spodziewanych poziomów parametrów dla zaproponowanych w ofercie opraw, Wykonawca przekaże obliczenia parametrów oświetleniowych dla przewidzianej geometrii montażu opraw na odcinkach ulic i dróg. Obliczenia muszą zawierać siatkę zgodną z danymi z pliku „Referencyjne obliczenia fotometryczne” wraz z wartościami luminancji i muszą być wykonane w bezpłatnym ogólnodostępnym oprogramowaniu.  </w:t>
      </w:r>
    </w:p>
    <w:p w14:paraId="2240CFEE" w14:textId="7E2E5E89" w:rsidR="00FC5257" w:rsidRPr="00B12260" w:rsidRDefault="00FC5257" w:rsidP="000F2689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Celem przedstawienia obliczeń jest udokumentowanie, że proponowane przez Wykonawcę oprawy oświetleniowe LED, spełniają wymagania techniczno-użytkowe Zamawiającego. Na Wykonawcy ciąży obowiązek udokumentowania, spełnienia wymagań, poprzez wykonanie i złożenie obliczeń fotometrycznych oświetlenia dróg i ulic, wykonanych w ogólnodostępnym programie komputerowym do wspomagania obliczeń i zawierających </w:t>
      </w:r>
      <w:r w:rsidRPr="00B12260">
        <w:rPr>
          <w:rFonts w:ascii="Times New Roman" w:hAnsi="Times New Roman" w:cs="Times New Roman"/>
          <w:sz w:val="24"/>
          <w:szCs w:val="24"/>
        </w:rPr>
        <w:lastRenderedPageBreak/>
        <w:t xml:space="preserve">wszystkie elementy zawarte w obliczeniach, stanowiących załącznik do Dokumentacji Projektowej – „Referencyjne obliczenia fotometryczne”. </w:t>
      </w:r>
    </w:p>
    <w:p w14:paraId="2B7599EE" w14:textId="423A9163" w:rsidR="00FC5257" w:rsidRPr="00B12260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Obliczenia oraz prezentacja wyników obliczeń musi być w pełni zgodna z przyjętymi założeniami Zamawiającego, tj. identyczna geometria dróg i usytuowania słupów, identyczny poziom współczynnika zapasu (ew. odwrotności - wskaźnika utrzymania), parametrów rodzaju nawierzchni, parametrów – położenia obserwatorów, oraz wydruki muszą zawierać wszystkie wyliczone parametry jak w załączniku do Dokumentacji Projektowej – „Referencyjne obliczenia fotometryczne”, a ich wartości muszą potwierdzać spełnienie wymagań normy PN-EN13201 dla przyjętych klas oświetleniowych. Różnica efektu oświetleniowego proponowanych opraw równoważnych musi być zgodna ze wskazanymi klasami oświetleniowymi i nie powinna być większa niż ± 10% w stosunku do podanych w referencyjnych obliczaniach fotometrycznych dla każdego parametru. </w:t>
      </w:r>
    </w:p>
    <w:p w14:paraId="45362C31" w14:textId="082F4370" w:rsidR="00FC5257" w:rsidRPr="00B12260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Obliczenia fotometryczne Wykonawca składa zapisane w formacie pdf i w plikach programu ogólnodostępnego jaki posłużył do obliczeń (edytowalne pliki obliczeniowe) oraz dane rozsyłu opraw zapisane w formie bazy danych umożliwiających na ich podstawie dokonanie wyliczeń parametrów oświetleniowych - pliki w formacie </w:t>
      </w:r>
      <w:proofErr w:type="spellStart"/>
      <w:r w:rsidRPr="00B12260">
        <w:rPr>
          <w:rFonts w:ascii="Times New Roman" w:hAnsi="Times New Roman" w:cs="Times New Roman"/>
          <w:sz w:val="24"/>
          <w:szCs w:val="24"/>
        </w:rPr>
        <w:t>eulumdat</w:t>
      </w:r>
      <w:proofErr w:type="spellEnd"/>
      <w:r w:rsidRPr="00B122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12260">
        <w:rPr>
          <w:rFonts w:ascii="Times New Roman" w:hAnsi="Times New Roman" w:cs="Times New Roman"/>
          <w:sz w:val="24"/>
          <w:szCs w:val="24"/>
        </w:rPr>
        <w:t>Ldt</w:t>
      </w:r>
      <w:proofErr w:type="spellEnd"/>
      <w:r w:rsidRPr="00B12260">
        <w:rPr>
          <w:rFonts w:ascii="Times New Roman" w:hAnsi="Times New Roman" w:cs="Times New Roman"/>
          <w:sz w:val="24"/>
          <w:szCs w:val="24"/>
        </w:rPr>
        <w:t>).</w:t>
      </w:r>
    </w:p>
    <w:p w14:paraId="52B2BFF7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GWARANCJA</w:t>
      </w:r>
    </w:p>
    <w:p w14:paraId="2E7B4238" w14:textId="163FAF34" w:rsidR="00FC5257" w:rsidRPr="00B12260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Zamawiający żąda gwarancji na zastosowane materiały i wykonane prace w wymiarze minimum </w:t>
      </w:r>
      <w:r w:rsidR="00B12260">
        <w:rPr>
          <w:rFonts w:ascii="Times New Roman" w:hAnsi="Times New Roman" w:cs="Times New Roman"/>
          <w:sz w:val="24"/>
          <w:szCs w:val="24"/>
        </w:rPr>
        <w:t>7</w:t>
      </w:r>
      <w:r w:rsidRPr="00B12260">
        <w:rPr>
          <w:rFonts w:ascii="Times New Roman" w:hAnsi="Times New Roman" w:cs="Times New Roman"/>
          <w:sz w:val="24"/>
          <w:szCs w:val="24"/>
        </w:rPr>
        <w:t xml:space="preserve"> lat lub więcej w zależności od przedstawionej oferty. Oznacza to, że każdy element podlegający gwarancji w ramach wykonania zadania musi być wymieniony przez gwaranta na wolny od wad w ciągu trwania gwarancji.</w:t>
      </w:r>
    </w:p>
    <w:p w14:paraId="49A82FDE" w14:textId="469730DD" w:rsidR="00FC5257" w:rsidRPr="00B12260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Gwarancja musi obejmować sprawność całej zmodernizowanej przez Wykonawcę infrastruktury oświetlenia ulicznego. Data podpisania protokołu końcowego jest datą rozpoczynającą okres gwarancyjny. </w:t>
      </w:r>
    </w:p>
    <w:p w14:paraId="5441231A" w14:textId="380AF2A1" w:rsidR="00FC5257" w:rsidRPr="00B12260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Zamawiający wymaga realizowania w okresie gwarancji prac konserwacyjnych polegających na utrzymaniu w pełnej sprawności zainstalowanego oświetlenia zewnętrznego. Wykonawca jest zobowiązany, w przypadku nie działania którejkolwiek z zainstalowanych przez Wykonawcę opraw LED, do natychmiastowej interwencji (nie później niż w ciągu 3 dni od zgłoszenia) polegającej na weryfikacji, demontażu, naprawie, montażu i uruchomieniu niedziałającego oświetlenia. Zakres ten obejmuję m.in. weryfikację, czy do oprawy jest dostarczane zasilanie, wymianę uszkodzonych przewodów i zabezpieczeń, wymianę opraw na oprawy działające LED o tych samych parametrach, naprawa lub wymiana uszkodzonych urządzeń objętych gwarancją.   </w:t>
      </w:r>
    </w:p>
    <w:p w14:paraId="61EC72E9" w14:textId="3A96DD34" w:rsidR="00FC5257" w:rsidRPr="00B12260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Wykonawca będzie odpowiadał i ponosił koszty wymiany niesprawnych elementów systemu podlegających gwarancji.</w:t>
      </w:r>
    </w:p>
    <w:p w14:paraId="16E7B41D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ENERGIA BIERNA</w:t>
      </w:r>
    </w:p>
    <w:p w14:paraId="51F579E7" w14:textId="7F1743F4" w:rsidR="00FC5257" w:rsidRPr="00B12260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Należy zainstalować nowe oprawy energooszczędne LED, które nie generują opłat za energię bierną</w:t>
      </w:r>
      <w:r w:rsidR="00B12260">
        <w:rPr>
          <w:rFonts w:ascii="Times New Roman" w:hAnsi="Times New Roman" w:cs="Times New Roman"/>
          <w:sz w:val="24"/>
          <w:szCs w:val="24"/>
        </w:rPr>
        <w:t xml:space="preserve"> zgodnie z wytycznymi</w:t>
      </w:r>
      <w:r w:rsidRPr="00B12260">
        <w:rPr>
          <w:rFonts w:ascii="Times New Roman" w:hAnsi="Times New Roman" w:cs="Times New Roman"/>
          <w:sz w:val="24"/>
          <w:szCs w:val="24"/>
        </w:rPr>
        <w:t xml:space="preserve">. Brak energii biernej musi być potwierdzone raportem (w </w:t>
      </w:r>
      <w:r w:rsidRPr="00B12260">
        <w:rPr>
          <w:rFonts w:ascii="Times New Roman" w:hAnsi="Times New Roman" w:cs="Times New Roman"/>
          <w:sz w:val="24"/>
          <w:szCs w:val="24"/>
        </w:rPr>
        <w:lastRenderedPageBreak/>
        <w:t>formie wykresów i tabel) z pomiarów elektrycznych dla każdego punktu poboru energii e</w:t>
      </w:r>
      <w:r w:rsidR="00B12260" w:rsidRPr="00B12260">
        <w:rPr>
          <w:rFonts w:ascii="Times New Roman" w:hAnsi="Times New Roman" w:cs="Times New Roman"/>
          <w:sz w:val="24"/>
          <w:szCs w:val="24"/>
        </w:rPr>
        <w:t>l</w:t>
      </w:r>
      <w:r w:rsidRPr="00B12260">
        <w:rPr>
          <w:rFonts w:ascii="Times New Roman" w:hAnsi="Times New Roman" w:cs="Times New Roman"/>
          <w:sz w:val="24"/>
          <w:szCs w:val="24"/>
        </w:rPr>
        <w:t>ekt</w:t>
      </w:r>
      <w:r w:rsidR="00B12260" w:rsidRPr="00B12260">
        <w:rPr>
          <w:rFonts w:ascii="Times New Roman" w:hAnsi="Times New Roman" w:cs="Times New Roman"/>
          <w:sz w:val="24"/>
          <w:szCs w:val="24"/>
        </w:rPr>
        <w:t>r</w:t>
      </w:r>
      <w:r w:rsidRPr="00B12260">
        <w:rPr>
          <w:rFonts w:ascii="Times New Roman" w:hAnsi="Times New Roman" w:cs="Times New Roman"/>
          <w:sz w:val="24"/>
          <w:szCs w:val="24"/>
        </w:rPr>
        <w:t>ycznej. W przypadku wystąpienia, po realizacji inwestycji, opłat za energię bierną za oświetlenie zewnętrzne objęte inwestycją, Wykonawca będzie obciążany (refakturą) poniesionymi przez Zamawiającego opłatami za energię bierną przez cały okres udzielnej gwarancji.</w:t>
      </w:r>
    </w:p>
    <w:p w14:paraId="60C74FCC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UTYLIZACJA</w:t>
      </w:r>
    </w:p>
    <w:p w14:paraId="594D1E6C" w14:textId="2D562E42" w:rsidR="00FC5257" w:rsidRPr="00B12260" w:rsidRDefault="00FC5257" w:rsidP="00495F41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Zdemontowaną infrastrukturę oświetlenia ulicznego, Wykonawca rozliczy z jego właścicielem. W przypadku wskazania przez właściciela, elementów nienadającego się do dalszej eksploatacji Wykonawca przekaże te elementy do utylizacji i przedstawi odpowiednie dokumenty potwierdzające utylizację. Wszystkie koszty związane z transportem, magazynowaniem, rozliczeniem, utylizacją ponosi Wykonawca.</w:t>
      </w:r>
    </w:p>
    <w:p w14:paraId="359B5B6F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SPRZĘT</w:t>
      </w:r>
    </w:p>
    <w:p w14:paraId="240F7D14" w14:textId="77777777" w:rsidR="00FC5257" w:rsidRPr="00B12260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Wykonawca przystępujący do budowy oświetlenia ulicznego winien wykazać się możliwością korzystania z maszyn i sprzętu, gwarantujących właściwą jakość robót. </w:t>
      </w:r>
    </w:p>
    <w:p w14:paraId="013E343F" w14:textId="77777777" w:rsidR="00FC5257" w:rsidRPr="00B12260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Wykaz maszyn i sprzętu:</w:t>
      </w:r>
    </w:p>
    <w:p w14:paraId="4A670F68" w14:textId="67913F9C" w:rsidR="00FC5257" w:rsidRPr="00B12260" w:rsidRDefault="00FC5257" w:rsidP="00B12260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12260">
        <w:rPr>
          <w:rFonts w:ascii="Times New Roman" w:hAnsi="Times New Roman"/>
          <w:sz w:val="24"/>
          <w:szCs w:val="24"/>
        </w:rPr>
        <w:t>Urządzenia podręczne elektroinstalacyjne</w:t>
      </w:r>
    </w:p>
    <w:p w14:paraId="6EC6DD4D" w14:textId="6650524D" w:rsidR="00FC5257" w:rsidRPr="00B12260" w:rsidRDefault="00FC5257" w:rsidP="00B12260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12260">
        <w:rPr>
          <w:rFonts w:ascii="Times New Roman" w:hAnsi="Times New Roman"/>
          <w:sz w:val="24"/>
          <w:szCs w:val="24"/>
        </w:rPr>
        <w:t>Przyrządy testujące i pomiarowe</w:t>
      </w:r>
    </w:p>
    <w:p w14:paraId="411D4CB1" w14:textId="77777777" w:rsidR="00FC5257" w:rsidRPr="00B12260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Wykonawca jest zobowiązany do używania jedynie takiego sprzętu, który nie spowoduje niekorzystnego wpływu na jakość wykonywanych robót. Będzie spełniał normy ochrony środowiska i przepisy dotyczące jego użytkowania.</w:t>
      </w:r>
    </w:p>
    <w:p w14:paraId="1C13EB95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417F55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TRANSPORT I SKŁADOWANIE</w:t>
      </w:r>
    </w:p>
    <w:p w14:paraId="42BEAF4E" w14:textId="417FBD88" w:rsidR="00FC5257" w:rsidRPr="00B12260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Wykonawca jest zobowiązany do stosowania jedynie takich środków transportu, które nie wpłyną niekorzystnie na jakość wykonywanych robót.</w:t>
      </w:r>
    </w:p>
    <w:p w14:paraId="28580B7E" w14:textId="77777777" w:rsidR="00FC5257" w:rsidRPr="00B12260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Liczba środków transportu powinna gwarantować prowadzenie robót zgodnie z zasadami określonymi w dokumentacji projektowej, SST i wskazaniach Inspektora nadzoru, w terminie przewidzianym kontraktem.</w:t>
      </w:r>
    </w:p>
    <w:p w14:paraId="54BDB78A" w14:textId="79300012" w:rsidR="00FC5257" w:rsidRPr="00B12260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Wykonawca przystępujący do wykonania budowy oświetlenia ulicznego powinien wykazywać się możliwością korzystania ze środków transportu wg tablicy:</w:t>
      </w:r>
    </w:p>
    <w:p w14:paraId="6FAC55BE" w14:textId="77777777" w:rsidR="00FC5257" w:rsidRPr="00B12260" w:rsidRDefault="00FC5257" w:rsidP="00B12260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12260">
        <w:rPr>
          <w:rFonts w:ascii="Times New Roman" w:hAnsi="Times New Roman"/>
          <w:sz w:val="24"/>
          <w:szCs w:val="24"/>
        </w:rPr>
        <w:t>Żuraw samochodowy</w:t>
      </w:r>
    </w:p>
    <w:p w14:paraId="41624D30" w14:textId="77777777" w:rsidR="00FC5257" w:rsidRPr="00B12260" w:rsidRDefault="00FC5257" w:rsidP="00B12260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12260">
        <w:rPr>
          <w:rFonts w:ascii="Times New Roman" w:hAnsi="Times New Roman"/>
          <w:sz w:val="24"/>
          <w:szCs w:val="24"/>
        </w:rPr>
        <w:t>Samochód skrzyniowy</w:t>
      </w:r>
    </w:p>
    <w:p w14:paraId="73380B51" w14:textId="77777777" w:rsidR="00FC5257" w:rsidRPr="00B12260" w:rsidRDefault="00FC5257" w:rsidP="00B12260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12260">
        <w:rPr>
          <w:rFonts w:ascii="Times New Roman" w:hAnsi="Times New Roman"/>
          <w:sz w:val="24"/>
          <w:szCs w:val="24"/>
        </w:rPr>
        <w:t>Samochód specjalny z platformą i balkonem</w:t>
      </w:r>
    </w:p>
    <w:p w14:paraId="39CC3558" w14:textId="5C96E225" w:rsidR="00FC5257" w:rsidRPr="00B12260" w:rsidRDefault="00FC5257" w:rsidP="00B12260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12260">
        <w:rPr>
          <w:rFonts w:ascii="Times New Roman" w:hAnsi="Times New Roman"/>
          <w:sz w:val="24"/>
          <w:szCs w:val="24"/>
        </w:rPr>
        <w:t>Samochód dostawczy</w:t>
      </w:r>
    </w:p>
    <w:p w14:paraId="6A273C0B" w14:textId="77777777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Na środkach transportu przewożone materiały powinny być zabezpieczone przed ich przemieszczaniem i układane zgodnie z warunkami transportu wydanymi przez ich wytwórcę.</w:t>
      </w:r>
    </w:p>
    <w:p w14:paraId="7E377258" w14:textId="6A72F50B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lastRenderedPageBreak/>
        <w:t>Transport materiałów, elementów i urządzeń elektrycznych powinien odbywać się środkami i urządzenia-mi transportowymi odpowiednio przystosowanymi. W czasie transportu należy zabezpieczyć przemieszczanie się przedmiotów w sposób zapobiegający ich zniszczeniu.</w:t>
      </w:r>
    </w:p>
    <w:p w14:paraId="302A9FF1" w14:textId="7E505251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Składowanie materiałów, aparatów i urządzeń elektrycznych powinno odbywać się w warunkach uni</w:t>
      </w:r>
      <w:r w:rsidR="00B12260" w:rsidRPr="00B12260">
        <w:rPr>
          <w:rFonts w:ascii="Times New Roman" w:hAnsi="Times New Roman" w:cs="Times New Roman"/>
          <w:sz w:val="24"/>
          <w:szCs w:val="24"/>
        </w:rPr>
        <w:t>e</w:t>
      </w:r>
      <w:r w:rsidRPr="00B12260">
        <w:rPr>
          <w:rFonts w:ascii="Times New Roman" w:hAnsi="Times New Roman" w:cs="Times New Roman"/>
          <w:sz w:val="24"/>
          <w:szCs w:val="24"/>
        </w:rPr>
        <w:t>możliwiających ich zniszczenie, uszkodzenie lub pogorszenie się ich jakości na skutek wpływów atmosferycznych lub czynników fizykochemicznych. Należy zachować wymagania wynikające ze specjalnych właściwości materiałów oraz wymagania w zakresie bezpieczeństwa pożarowego.</w:t>
      </w:r>
    </w:p>
    <w:p w14:paraId="6E46B1B2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WYKONANIE ROBÓT</w:t>
      </w:r>
    </w:p>
    <w:p w14:paraId="291BEF01" w14:textId="77777777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Wykonawca jest odpowiedzialny za prowadzenie robót zgodnie z umową oraz za jakość zastosowanych materiałów i wykonanych robót, za ich zgodność z dokumentacją projektową oraz poleceniami Inspektora Nadzoru. </w:t>
      </w:r>
    </w:p>
    <w:p w14:paraId="2FACBE39" w14:textId="452F4DF7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Wykonawca ponosi odpowiedzialność za pełną obsługę geodezyjną przy wykonaniu zadania i przekazania ich Inspektorowi Nadzoru.</w:t>
      </w:r>
    </w:p>
    <w:p w14:paraId="110A67C7" w14:textId="77777777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Następstwa jakiegokolwiek błędu spowodowanego przez Wykonawcę w wytyczeniu i wykonaniu robót zostaną poprawione przez Wykonawcę na własny koszt.</w:t>
      </w:r>
    </w:p>
    <w:p w14:paraId="573BF351" w14:textId="42CED778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Jeżeli w trakcie wykonywania modernizacji znajdzie się element, który nie nosi znamion zużycia wymagającego remontu lub wymiany a został do takich prac zakwalifikowany w projekcie, należy każdorazowo uzgodnić z Zamawiającym, jakie czynności należy wykonać na danym elemencie instalacji.</w:t>
      </w:r>
    </w:p>
    <w:p w14:paraId="31F242D8" w14:textId="77777777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Polecenia Inspektora Nadzoru dotyczące realizacji robót będą wykonywane przez Wykonawcę w czasie wyznaczonym przez Inspektora Nadzoru pod groźbą wstrzymania robót. Skutki finansowe z tego tytułu ponosi Wykonawca.</w:t>
      </w:r>
    </w:p>
    <w:p w14:paraId="35FB18D5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47E57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Demontaż i montaż opraw</w:t>
      </w:r>
    </w:p>
    <w:p w14:paraId="4A9FBD13" w14:textId="794A3CA0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Demontaż istniejących opraw i montażu nowych opraw na wysięgnikach należy wykonywać przy pomocy samochodu z balkonem.</w:t>
      </w:r>
    </w:p>
    <w:p w14:paraId="6D256A46" w14:textId="3004BA6A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Każdą oprawę przed zamontowaniem należy podłączyć do sieci i sprawdzić jej działanie (sprawdzenie zaświecenia się lampy).</w:t>
      </w:r>
    </w:p>
    <w:p w14:paraId="4F6B009B" w14:textId="40704AC0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>Oprawy należy montować po uprzednim wciągnięciu przewodów zasilających do słupów i wysięgników.</w:t>
      </w:r>
    </w:p>
    <w:p w14:paraId="570319D7" w14:textId="7D01B2A5" w:rsidR="00FC5257" w:rsidRPr="00B12260" w:rsidRDefault="00FC5257" w:rsidP="00B12260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260">
        <w:rPr>
          <w:rFonts w:ascii="Times New Roman" w:hAnsi="Times New Roman" w:cs="Times New Roman"/>
          <w:sz w:val="24"/>
          <w:szCs w:val="24"/>
        </w:rPr>
        <w:t xml:space="preserve">Oprawy należy mocować na wysięgnikach w sposób wskazany przez producenta opraw, po </w:t>
      </w:r>
      <w:r w:rsidR="00B12260" w:rsidRPr="00B12260">
        <w:rPr>
          <w:rFonts w:ascii="Times New Roman" w:hAnsi="Times New Roman" w:cs="Times New Roman"/>
          <w:sz w:val="24"/>
          <w:szCs w:val="24"/>
        </w:rPr>
        <w:t>wprowadzeniu</w:t>
      </w:r>
      <w:r w:rsidRPr="00B12260">
        <w:rPr>
          <w:rFonts w:ascii="Times New Roman" w:hAnsi="Times New Roman" w:cs="Times New Roman"/>
          <w:sz w:val="24"/>
          <w:szCs w:val="24"/>
        </w:rPr>
        <w:t xml:space="preserve"> do nich przewodów zasilających i ustawieniu ich w położenie pracy. Oprawy z regulacją kata nachylenia należy zamontować tak, aby nachylenie jej (kąt) do płaszczyzny </w:t>
      </w:r>
      <w:r w:rsidRPr="00B12260">
        <w:rPr>
          <w:rFonts w:ascii="Times New Roman" w:hAnsi="Times New Roman" w:cs="Times New Roman"/>
          <w:sz w:val="24"/>
          <w:szCs w:val="24"/>
        </w:rPr>
        <w:lastRenderedPageBreak/>
        <w:t xml:space="preserve">jezdni było zgodne z projektem. W przypadku, gdy wysięgnik nie podlega wymianie, należy zastosować ustawienie kąta oprawy zgodnie z projektem oświetleniowym. Oprawy powinny być mocowane w sposób trwały, aby nie zmieniały swego położenia pod wpływem warunków atmosferycznych i parcia wiatru dla II i III strefy wiatrowej.  </w:t>
      </w:r>
    </w:p>
    <w:p w14:paraId="2D033DA6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60DC66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KONTROLA JAKOŚCI ROBÓT</w:t>
      </w:r>
    </w:p>
    <w:p w14:paraId="4EF41FC1" w14:textId="75F55ECB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Wykonawca zobowiązany jest stosować wyłącznie materiały dopuszczone do obrotu i stosowania w budownictwie, bez widocznych wad, zgodnie z niniejszą SST oraz PW (ewentualne zamienniki materiałów uzgodnić z Inspektorem Nadzoru i potwierdzić wpisem w dzienniku lub protokole), zgłaszać do odbioru roboty ulegające zakryciu. Wykonawca zobowiązany jest do stałej i systematycznej kontroli prowadzonych robót i zgodności z dokumentacją projektową.</w:t>
      </w:r>
    </w:p>
    <w:p w14:paraId="620FE4AD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Badania przed przystąpieniem do robót</w:t>
      </w:r>
    </w:p>
    <w:p w14:paraId="16C4B8F6" w14:textId="2DD2FCA1" w:rsidR="00FC5257" w:rsidRPr="00FC5257" w:rsidRDefault="00FC5257" w:rsidP="00FC5257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Przed przystąpieniem do robót, Wykonawca powinien uzyskać od producentów zaświadczenia o jakości lub atesty stosowanych materiałów.</w:t>
      </w:r>
    </w:p>
    <w:p w14:paraId="13F86F5D" w14:textId="12326A15" w:rsidR="00FC5257" w:rsidRPr="00FC5257" w:rsidRDefault="00FC5257" w:rsidP="00FC5257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Do materiałów, których badania powinien przeprowadzić Wykonawca, należą materiały do wykonania fundamentów „na mokro”. Uwzględniając nieskomplikowany charakter robót fundamentowych, na wniosek Wykonawcy, Inżynier może zwolnić go z potrzeby wykonania badań materiałów dla tych robót.</w:t>
      </w:r>
    </w:p>
    <w:p w14:paraId="3CD50CE4" w14:textId="331C66F2" w:rsidR="00FC5257" w:rsidRPr="00FC5257" w:rsidRDefault="00FC5257" w:rsidP="00FC5257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Na żądanie Inspektora Nadzoru, należy dokonać testowania sprzętu posiadającego możliwość nastawienia mechanizmów regulacyjnych.</w:t>
      </w:r>
    </w:p>
    <w:p w14:paraId="545C52F4" w14:textId="77777777" w:rsidR="00FC5257" w:rsidRPr="00FC5257" w:rsidRDefault="00FC5257" w:rsidP="00FC5257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W wyniku badań testujących należy przedstawić Inspektora Nadzoru świadectwa cechowania.</w:t>
      </w:r>
    </w:p>
    <w:p w14:paraId="67FA0024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OBMIAR ROBÓT</w:t>
      </w:r>
    </w:p>
    <w:p w14:paraId="7CE461FB" w14:textId="4AA757B4" w:rsidR="00FC5257" w:rsidRPr="00FC5257" w:rsidRDefault="00FC5257" w:rsidP="00FC5257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Obmiaru robót dokonać należy w oparciu o dokumentację projektową i ewentualnie dodatkowe ustalenia, wynikłe w czasie budowy, akceptowane przez Inżyniera.</w:t>
      </w:r>
    </w:p>
    <w:p w14:paraId="608FD284" w14:textId="77777777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Jednostkami obmiarowymi dla robót kablowych są:</w:t>
      </w:r>
    </w:p>
    <w:p w14:paraId="088C075F" w14:textId="45497324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-</w:t>
      </w:r>
      <w:r w:rsidRPr="00FC5257">
        <w:rPr>
          <w:rFonts w:ascii="Times New Roman" w:hAnsi="Times New Roman" w:cs="Times New Roman"/>
          <w:sz w:val="24"/>
          <w:szCs w:val="24"/>
        </w:rPr>
        <w:tab/>
        <w:t>dla konstrukcji wsporczych</w:t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>-szt.</w:t>
      </w:r>
    </w:p>
    <w:p w14:paraId="7F036CD3" w14:textId="5C40722A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-</w:t>
      </w:r>
      <w:r w:rsidRPr="00FC5257">
        <w:rPr>
          <w:rFonts w:ascii="Times New Roman" w:hAnsi="Times New Roman" w:cs="Times New Roman"/>
          <w:sz w:val="24"/>
          <w:szCs w:val="24"/>
        </w:rPr>
        <w:tab/>
        <w:t>dla układania kabli</w:t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C5257">
        <w:rPr>
          <w:rFonts w:ascii="Times New Roman" w:hAnsi="Times New Roman" w:cs="Times New Roman"/>
          <w:sz w:val="24"/>
          <w:szCs w:val="24"/>
        </w:rPr>
        <w:t>mb</w:t>
      </w:r>
      <w:proofErr w:type="spellEnd"/>
    </w:p>
    <w:p w14:paraId="4172C606" w14:textId="633AA7B3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-</w:t>
      </w:r>
      <w:r w:rsidRPr="00FC5257">
        <w:rPr>
          <w:rFonts w:ascii="Times New Roman" w:hAnsi="Times New Roman" w:cs="Times New Roman"/>
          <w:sz w:val="24"/>
          <w:szCs w:val="24"/>
        </w:rPr>
        <w:tab/>
        <w:t xml:space="preserve">dla układania rur osłonowych </w:t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C5257">
        <w:rPr>
          <w:rFonts w:ascii="Times New Roman" w:hAnsi="Times New Roman" w:cs="Times New Roman"/>
          <w:sz w:val="24"/>
          <w:szCs w:val="24"/>
        </w:rPr>
        <w:t>mb</w:t>
      </w:r>
      <w:proofErr w:type="spellEnd"/>
    </w:p>
    <w:p w14:paraId="6B23B941" w14:textId="1045DCF7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-</w:t>
      </w:r>
      <w:r w:rsidRPr="00FC5257">
        <w:rPr>
          <w:rFonts w:ascii="Times New Roman" w:hAnsi="Times New Roman" w:cs="Times New Roman"/>
          <w:sz w:val="24"/>
          <w:szCs w:val="24"/>
        </w:rPr>
        <w:tab/>
        <w:t>dla montażu osprzętu linii</w:t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 xml:space="preserve">-szt., </w:t>
      </w:r>
      <w:proofErr w:type="spellStart"/>
      <w:r w:rsidRPr="00FC5257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FC5257">
        <w:rPr>
          <w:rFonts w:ascii="Times New Roman" w:hAnsi="Times New Roman" w:cs="Times New Roman"/>
          <w:sz w:val="24"/>
          <w:szCs w:val="24"/>
        </w:rPr>
        <w:t>.,</w:t>
      </w:r>
    </w:p>
    <w:p w14:paraId="5486F417" w14:textId="6930CD6E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-</w:t>
      </w:r>
      <w:r w:rsidRPr="00FC5257">
        <w:rPr>
          <w:rFonts w:ascii="Times New Roman" w:hAnsi="Times New Roman" w:cs="Times New Roman"/>
          <w:sz w:val="24"/>
          <w:szCs w:val="24"/>
        </w:rPr>
        <w:tab/>
        <w:t>dla robót ziemnych</w:t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C5257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Pr="00FC5257">
        <w:rPr>
          <w:rFonts w:ascii="Times New Roman" w:hAnsi="Times New Roman" w:cs="Times New Roman"/>
          <w:sz w:val="24"/>
          <w:szCs w:val="24"/>
        </w:rPr>
        <w:t>/szerokość rowu</w:t>
      </w:r>
    </w:p>
    <w:p w14:paraId="584EEB66" w14:textId="4D3AF0B2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-</w:t>
      </w:r>
      <w:r w:rsidRPr="00FC5257">
        <w:rPr>
          <w:rFonts w:ascii="Times New Roman" w:hAnsi="Times New Roman" w:cs="Times New Roman"/>
          <w:sz w:val="24"/>
          <w:szCs w:val="24"/>
        </w:rPr>
        <w:tab/>
        <w:t xml:space="preserve">piasek </w:t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>-m</w:t>
      </w:r>
      <w:r w:rsidRPr="00FC525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66A9881C" w14:textId="684F81FF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-</w:t>
      </w:r>
      <w:r w:rsidRPr="00FC5257">
        <w:rPr>
          <w:rFonts w:ascii="Times New Roman" w:hAnsi="Times New Roman" w:cs="Times New Roman"/>
          <w:sz w:val="24"/>
          <w:szCs w:val="24"/>
        </w:rPr>
        <w:tab/>
        <w:t>naprawa nawierzchni</w:t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>-m</w:t>
      </w:r>
      <w:r w:rsidRPr="00FC525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10D79522" w14:textId="2004842D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-</w:t>
      </w:r>
      <w:r w:rsidRPr="00FC5257">
        <w:rPr>
          <w:rFonts w:ascii="Times New Roman" w:hAnsi="Times New Roman" w:cs="Times New Roman"/>
          <w:sz w:val="24"/>
          <w:szCs w:val="24"/>
        </w:rPr>
        <w:tab/>
        <w:t>słupów</w:t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C5257">
        <w:rPr>
          <w:rFonts w:ascii="Times New Roman" w:hAnsi="Times New Roman" w:cs="Times New Roman"/>
          <w:sz w:val="24"/>
          <w:szCs w:val="24"/>
        </w:rPr>
        <w:t>-szt.</w:t>
      </w:r>
    </w:p>
    <w:p w14:paraId="3980EF9A" w14:textId="77777777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-</w:t>
      </w:r>
      <w:r w:rsidRPr="00FC5257">
        <w:rPr>
          <w:rFonts w:ascii="Times New Roman" w:hAnsi="Times New Roman" w:cs="Times New Roman"/>
          <w:sz w:val="24"/>
          <w:szCs w:val="24"/>
        </w:rPr>
        <w:tab/>
        <w:t>opraw oświetleniowych /z źródłami światła/</w:t>
      </w:r>
      <w:r w:rsidRPr="00FC5257">
        <w:rPr>
          <w:rFonts w:ascii="Times New Roman" w:hAnsi="Times New Roman" w:cs="Times New Roman"/>
          <w:sz w:val="24"/>
          <w:szCs w:val="24"/>
        </w:rPr>
        <w:tab/>
        <w:t>-</w:t>
      </w:r>
      <w:r w:rsidRPr="00FC525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C5257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FC5257">
        <w:rPr>
          <w:rFonts w:ascii="Times New Roman" w:hAnsi="Times New Roman" w:cs="Times New Roman"/>
          <w:sz w:val="24"/>
          <w:szCs w:val="24"/>
        </w:rPr>
        <w:t>.</w:t>
      </w:r>
    </w:p>
    <w:p w14:paraId="2274ADE8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lastRenderedPageBreak/>
        <w:t>12.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ODBIÓR ROBÓT</w:t>
      </w:r>
    </w:p>
    <w:p w14:paraId="4B7B133E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12.1.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Ogólne zasady odbioru robót</w:t>
      </w:r>
    </w:p>
    <w:p w14:paraId="4B9E1481" w14:textId="304AD9AB" w:rsidR="00FC5257" w:rsidRPr="00FC5257" w:rsidRDefault="00FC5257" w:rsidP="00FC5257">
      <w:pPr>
        <w:spacing w:before="240"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Gotowość do odbioru robót zgłasza Wykonawca wpisem do dziennika budowy z jednoczesnym powiadomieniem Zamawiającego. Odbiór będzie przeprowadzony niezwłocznie, nie później jednak niż w ciągu 14 dni od daty zgłoszenia wpisem do dziennika budowy i powiadomienia o tym fakcie Zamawiającego. Roboty uznaje się za wykonane zgodnie z dokumentacją projektową, SST i wymaganiami Zamawiającego, jeżeli wszystkie pomiary i badania z zachowaniem tolerancji dały wyniki pozytywne.</w:t>
      </w:r>
    </w:p>
    <w:p w14:paraId="3C40988E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12.2.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Dokumenty do odbioru końcowego robót</w:t>
      </w:r>
    </w:p>
    <w:p w14:paraId="15295528" w14:textId="22327C04" w:rsidR="00FC5257" w:rsidRPr="00FC5257" w:rsidRDefault="00FC5257" w:rsidP="00FC52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Do odbioru końcowego Wykonawca jest zobowiązany przygotować protokoły odbiorów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257">
        <w:rPr>
          <w:rFonts w:ascii="Times New Roman" w:hAnsi="Times New Roman" w:cs="Times New Roman"/>
          <w:sz w:val="24"/>
          <w:szCs w:val="24"/>
        </w:rPr>
        <w:t xml:space="preserve">dokumentację powykonawczą. </w:t>
      </w:r>
    </w:p>
    <w:p w14:paraId="6DB4A3A3" w14:textId="77777777" w:rsidR="00FC5257" w:rsidRPr="00FC5257" w:rsidRDefault="00FC5257" w:rsidP="00FC52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W skład dokumentacji powykonawczej wchodzi:</w:t>
      </w:r>
    </w:p>
    <w:p w14:paraId="20BEFB55" w14:textId="2F3D5CD9" w:rsidR="00FC5257" w:rsidRDefault="00FC5257" w:rsidP="00FC5257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5257">
        <w:rPr>
          <w:rFonts w:ascii="Times New Roman" w:hAnsi="Times New Roman"/>
          <w:sz w:val="24"/>
          <w:szCs w:val="24"/>
        </w:rPr>
        <w:t xml:space="preserve">dokumentacja projektowa z </w:t>
      </w:r>
      <w:r>
        <w:rPr>
          <w:rFonts w:ascii="Times New Roman" w:hAnsi="Times New Roman"/>
          <w:sz w:val="24"/>
          <w:szCs w:val="24"/>
        </w:rPr>
        <w:t>doboru opraw dla poszczególnych sytuacji oświetleniowych</w:t>
      </w:r>
    </w:p>
    <w:p w14:paraId="40D8EE36" w14:textId="77777777" w:rsidR="00FC5257" w:rsidRDefault="00FC5257" w:rsidP="00FC5257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5257">
        <w:rPr>
          <w:rFonts w:ascii="Times New Roman" w:hAnsi="Times New Roman"/>
          <w:sz w:val="24"/>
          <w:szCs w:val="24"/>
        </w:rPr>
        <w:t>karty katalogowe atesty, aprobaty gwarancje itp.</w:t>
      </w:r>
    </w:p>
    <w:p w14:paraId="3F878B16" w14:textId="35E582D5" w:rsidR="00FC5257" w:rsidRPr="00FC5257" w:rsidRDefault="00FC5257" w:rsidP="00FC5257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5257">
        <w:rPr>
          <w:rFonts w:ascii="Times New Roman" w:hAnsi="Times New Roman"/>
          <w:sz w:val="24"/>
          <w:szCs w:val="24"/>
        </w:rPr>
        <w:t>dla celów ewidencji środków trwałych Zamawiającego, Wykonawca dostarczy listę kompletów urządzeń w formie tabelarycznej obejmującą: moc oprawy [W], unikalny identyfikator - nr seryjny urządzenia automatyki sterującej, strumień oprawy [lm], lokalizację GPS zainstalowanego kompletu, lokalizacja (miejscowość, ulica, nr działki, obręb).</w:t>
      </w:r>
    </w:p>
    <w:p w14:paraId="4DEFA5BB" w14:textId="36AA2868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  <w:t>Podstawa płatności</w:t>
      </w:r>
    </w:p>
    <w:p w14:paraId="7DB5CF7F" w14:textId="534B495D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Płatność za wykonane roboty należy przyjmować zgodnie z obmiarem i oceną jakości użytych materiałów i wykonanych robót na podstawie wyników pomiarów i badań kontrolnych.</w:t>
      </w:r>
    </w:p>
    <w:p w14:paraId="42E62FCD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sz w:val="24"/>
          <w:szCs w:val="24"/>
        </w:rPr>
        <w:t>Cena jednostkowa wykonanych robót obejmuje:</w:t>
      </w:r>
    </w:p>
    <w:p w14:paraId="13C49E45" w14:textId="0B333960" w:rsidR="00FC5257" w:rsidRPr="00FC5257" w:rsidRDefault="00FC5257" w:rsidP="00FC5257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5257">
        <w:rPr>
          <w:rFonts w:ascii="Times New Roman" w:hAnsi="Times New Roman"/>
          <w:sz w:val="24"/>
          <w:szCs w:val="24"/>
        </w:rPr>
        <w:t>roboty przygotowawcze,</w:t>
      </w:r>
    </w:p>
    <w:p w14:paraId="78F88BE3" w14:textId="391231E9" w:rsidR="00FC5257" w:rsidRPr="00FC5257" w:rsidRDefault="00FC5257" w:rsidP="00FC5257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5257">
        <w:rPr>
          <w:rFonts w:ascii="Times New Roman" w:hAnsi="Times New Roman"/>
          <w:sz w:val="24"/>
          <w:szCs w:val="24"/>
        </w:rPr>
        <w:t>oznakowanie robót,</w:t>
      </w:r>
    </w:p>
    <w:p w14:paraId="721B86F6" w14:textId="51818611" w:rsidR="00FC5257" w:rsidRPr="00FC5257" w:rsidRDefault="00FC5257" w:rsidP="00FC5257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5257">
        <w:rPr>
          <w:rFonts w:ascii="Times New Roman" w:hAnsi="Times New Roman"/>
          <w:sz w:val="24"/>
          <w:szCs w:val="24"/>
        </w:rPr>
        <w:t>przygotowanie, dostarczenie i wbudowanie materiałów,</w:t>
      </w:r>
    </w:p>
    <w:p w14:paraId="2515832E" w14:textId="68425850" w:rsidR="00FC5257" w:rsidRPr="00FC5257" w:rsidRDefault="00FC5257" w:rsidP="00FC5257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5257">
        <w:rPr>
          <w:rFonts w:ascii="Times New Roman" w:hAnsi="Times New Roman"/>
          <w:sz w:val="24"/>
          <w:szCs w:val="24"/>
        </w:rPr>
        <w:t>odłączenie i demontaż istniejących opraw,</w:t>
      </w:r>
    </w:p>
    <w:p w14:paraId="45564045" w14:textId="29D7B519" w:rsidR="00FC5257" w:rsidRPr="00FC5257" w:rsidRDefault="00FC5257" w:rsidP="00FC5257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5257">
        <w:rPr>
          <w:rFonts w:ascii="Times New Roman" w:hAnsi="Times New Roman"/>
          <w:sz w:val="24"/>
          <w:szCs w:val="24"/>
        </w:rPr>
        <w:t>montaż i podłączenie nowych opraw oświetleniowych.</w:t>
      </w:r>
    </w:p>
    <w:p w14:paraId="18EC78A0" w14:textId="77777777" w:rsidR="00FC5257" w:rsidRPr="00FC5257" w:rsidRDefault="00FC5257" w:rsidP="00FC5257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B3D3C" w14:textId="2798D93B" w:rsidR="00F55C93" w:rsidRPr="0044746A" w:rsidRDefault="00FC5257" w:rsidP="00081396">
      <w:pPr>
        <w:spacing w:before="240"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C5257"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Pr="00FC525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55C93" w:rsidRPr="0044746A">
        <w:rPr>
          <w:rFonts w:ascii="Times New Roman" w:hAnsi="Times New Roman" w:cs="Times New Roman"/>
          <w:b/>
          <w:bCs/>
          <w:sz w:val="24"/>
          <w:szCs w:val="24"/>
        </w:rPr>
        <w:t>Podstawy prawne</w:t>
      </w:r>
    </w:p>
    <w:p w14:paraId="29A98ADF" w14:textId="357D22DE" w:rsidR="00F13CBF" w:rsidRPr="008A6091" w:rsidRDefault="00F13CBF" w:rsidP="008F26D7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 xml:space="preserve">Ustawa z dnia 7 lipca 1994 Prawo budowlane (Dz.U. Nr 89, poz. 414), tekst jednolity z dnia </w:t>
      </w:r>
      <w:r w:rsidR="006563C6">
        <w:rPr>
          <w:rFonts w:ascii="Times New Roman" w:eastAsia="Arial" w:hAnsi="Times New Roman" w:cs="Times New Roman"/>
          <w:sz w:val="23"/>
          <w:szCs w:val="23"/>
        </w:rPr>
        <w:t>10</w:t>
      </w:r>
      <w:r w:rsidRPr="008A6091">
        <w:rPr>
          <w:rFonts w:ascii="Times New Roman" w:eastAsia="Arial" w:hAnsi="Times New Roman" w:cs="Times New Roman"/>
          <w:sz w:val="23"/>
          <w:szCs w:val="23"/>
        </w:rPr>
        <w:t xml:space="preserve"> </w:t>
      </w:r>
      <w:r w:rsidR="006563C6">
        <w:rPr>
          <w:rFonts w:ascii="Times New Roman" w:eastAsia="Arial" w:hAnsi="Times New Roman" w:cs="Times New Roman"/>
          <w:sz w:val="23"/>
          <w:szCs w:val="23"/>
        </w:rPr>
        <w:t>marca</w:t>
      </w:r>
      <w:r w:rsidRPr="008A6091">
        <w:rPr>
          <w:rFonts w:ascii="Times New Roman" w:eastAsia="Arial" w:hAnsi="Times New Roman" w:cs="Times New Roman"/>
          <w:sz w:val="23"/>
          <w:szCs w:val="23"/>
        </w:rPr>
        <w:t xml:space="preserve"> 202</w:t>
      </w:r>
      <w:r w:rsidR="006563C6">
        <w:rPr>
          <w:rFonts w:ascii="Times New Roman" w:eastAsia="Arial" w:hAnsi="Times New Roman" w:cs="Times New Roman"/>
          <w:sz w:val="23"/>
          <w:szCs w:val="23"/>
        </w:rPr>
        <w:t>3</w:t>
      </w:r>
      <w:r w:rsidRPr="008A6091">
        <w:rPr>
          <w:rFonts w:ascii="Times New Roman" w:eastAsia="Arial" w:hAnsi="Times New Roman" w:cs="Times New Roman"/>
          <w:sz w:val="23"/>
          <w:szCs w:val="23"/>
        </w:rPr>
        <w:t xml:space="preserve">r. (Dz.U. </w:t>
      </w:r>
      <w:r w:rsidR="006563C6">
        <w:rPr>
          <w:rFonts w:ascii="Times New Roman" w:eastAsia="Arial" w:hAnsi="Times New Roman" w:cs="Times New Roman"/>
          <w:sz w:val="23"/>
          <w:szCs w:val="23"/>
        </w:rPr>
        <w:t>2023</w:t>
      </w:r>
      <w:r w:rsidRPr="008A6091">
        <w:rPr>
          <w:rFonts w:ascii="Times New Roman" w:eastAsia="Arial" w:hAnsi="Times New Roman" w:cs="Times New Roman"/>
          <w:sz w:val="23"/>
          <w:szCs w:val="23"/>
        </w:rPr>
        <w:t xml:space="preserve"> poz. </w:t>
      </w:r>
      <w:r w:rsidR="006563C6">
        <w:rPr>
          <w:rFonts w:ascii="Times New Roman" w:eastAsia="Arial" w:hAnsi="Times New Roman" w:cs="Times New Roman"/>
          <w:sz w:val="23"/>
          <w:szCs w:val="23"/>
        </w:rPr>
        <w:t>682</w:t>
      </w:r>
      <w:r w:rsidRPr="008A6091">
        <w:rPr>
          <w:rFonts w:ascii="Times New Roman" w:eastAsia="Arial" w:hAnsi="Times New Roman" w:cs="Times New Roman"/>
          <w:sz w:val="23"/>
          <w:szCs w:val="23"/>
        </w:rPr>
        <w:t>).</w:t>
      </w:r>
    </w:p>
    <w:p w14:paraId="6841607B" w14:textId="79D38D2D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 xml:space="preserve">Ustawa z dnia z dnia 29 stycznia 2004 r. Prawo zamówień publicznych (Dz.U. Nr 19, poz. 177) tekst jednolity z 27 września 2019 (Dz.U. </w:t>
      </w:r>
      <w:r w:rsidR="00170012">
        <w:rPr>
          <w:rFonts w:ascii="Times New Roman" w:eastAsia="Arial" w:hAnsi="Times New Roman" w:cs="Times New Roman"/>
          <w:sz w:val="23"/>
          <w:szCs w:val="23"/>
        </w:rPr>
        <w:t>2023</w:t>
      </w:r>
      <w:r w:rsidRPr="008A6091">
        <w:rPr>
          <w:rFonts w:ascii="Times New Roman" w:eastAsia="Arial" w:hAnsi="Times New Roman" w:cs="Times New Roman"/>
          <w:sz w:val="23"/>
          <w:szCs w:val="23"/>
        </w:rPr>
        <w:t xml:space="preserve"> poz. 1</w:t>
      </w:r>
      <w:r w:rsidR="00170012">
        <w:rPr>
          <w:rFonts w:ascii="Times New Roman" w:eastAsia="Arial" w:hAnsi="Times New Roman" w:cs="Times New Roman"/>
          <w:sz w:val="23"/>
          <w:szCs w:val="23"/>
        </w:rPr>
        <w:t>60</w:t>
      </w:r>
      <w:r w:rsidRPr="008A6091">
        <w:rPr>
          <w:rFonts w:ascii="Times New Roman" w:eastAsia="Arial" w:hAnsi="Times New Roman" w:cs="Times New Roman"/>
          <w:sz w:val="23"/>
          <w:szCs w:val="23"/>
        </w:rPr>
        <w:t>).</w:t>
      </w:r>
    </w:p>
    <w:p w14:paraId="2F1F35DC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Ustawa z dnia 16 kwietnia 2004 r. o wyrobach budowlanych (Dz.U. Nr 92, poz. 881) z późniejszymi zmianami</w:t>
      </w:r>
    </w:p>
    <w:p w14:paraId="5B621755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lastRenderedPageBreak/>
        <w:t>Ustawa z dnia 17 maja 1989 r. Prawo geodezyjne i kartograficzne (Dz.U. Nr 30, poz. 163) tekst jednolity z dnia 16 kwietnia 2020. (Dz. U. 2020 poz. 782).</w:t>
      </w:r>
    </w:p>
    <w:p w14:paraId="5D25EC9F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Ustawa o normalizacji z dnia 12 września 2002 r. (Dz.U. Nr 169, poz. 1386).</w:t>
      </w:r>
    </w:p>
    <w:p w14:paraId="12F37A50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Ustawa z dnia 10 kwietnia 1997 r. Prawo energetyczne Dz.U. Nr 54, poz. 348) z ;późniejszymi zmianami</w:t>
      </w:r>
    </w:p>
    <w:p w14:paraId="21A80DC8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Ustawa z dnia 30 sierpnia 2002 r. o systemie oceny zgodności (Dz.U. Nr 166, poz. 1360) tekst jednolity z dnia 13 lipca 2010 r. z późniejszymi zmianami</w:t>
      </w:r>
    </w:p>
    <w:p w14:paraId="47256668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Ustawa z dnia 20 czerwca 1997 r. Prawo o ruchu drogowym (Dz.U. Nr 98, poz. 602) tekst jednolity z dnia 24 stycznia 2020 (.Dz.U. 2020 poz. 110)</w:t>
      </w:r>
    </w:p>
    <w:p w14:paraId="00D678D4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Rozporządzenia Ministra Transportu, Budownictwa i Gospodarki Morskiej z dnia 25 kwietnia 2012 r. w sprawie szczegółowego zakresu i formy projektu budowlanego.</w:t>
      </w:r>
    </w:p>
    <w:p w14:paraId="3EE616B6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Rozporządzenie Ministra Infrastruktury z dnia 2 września 2004 r. w sprawie szczegółowego zakresu i formy dokumentacji projektowej, specyfikacji technicznych wykonania i odbioru robót budowlanych oraz programu funkcjonalno – użytkowego (Dz.U. Nr 202, poz. 2072) tekst jednolity z 10 maja 2013 r. (Dz.U. z 2013 r. poz 1129).</w:t>
      </w:r>
    </w:p>
    <w:p w14:paraId="1C0218B7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Rozporządzenie Ministra Infrastruktury z dnia 18 maja 2004r. w sprawie określenia metod i podstaw sporządzania kosztorysu inwestorskiego, obliczania planowanych kosztów prac projektowych oraz planowanych kosztów robót budowlanych określonych w programie funkcjonalno – użytkowym ( Dz.U. nr 130, poz. 1389 z późn. zm.).</w:t>
      </w:r>
    </w:p>
    <w:p w14:paraId="177AE632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Rozporządzenie Ministra Infrastruktury z dnia 23 czerwca 2003 r. w sprawie informacji dotyczącej bezpieczeństwa i ochrony zdrowia oraz planu bezpieczeństwa i ochrony zdrowia (Dz.U. Nr 120, poz 1126).</w:t>
      </w:r>
    </w:p>
    <w:p w14:paraId="60DDCB1A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Rozporządzenie Ministra Gospodarki w sprawie bezpieczeństwa i higieny pracy przy urządzeniach i instalacjach energetycznych z dnia 28 marca 2013 r. (Dz.U. z 2013 r., poz. 492).</w:t>
      </w:r>
    </w:p>
    <w:p w14:paraId="37C59477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Rozporządzenie Ministra Transportu i Gospodarki Morskiej z dnia 21 lutego 1995 r. w sprawie warunków technicznych jakim powinny odpowiadać drogi publiczne i ich usytuowanie (Dz.U. Nr 43, poz. 430).</w:t>
      </w:r>
    </w:p>
    <w:p w14:paraId="31DD61E9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 xml:space="preserve">Rozporządzenie Ministra Gospodarki Przestrzennej i Budownictwa z dnia 2 marca 1999 r. w sprawie rodzajów i zakresu opracowań geodezyjno–kartograficznych oraz czynności geodezyjnych obowiązujących w budownictwie ( Dz.U. z 1995r., Nr 25, poz. 133 </w:t>
      </w:r>
    </w:p>
    <w:p w14:paraId="150208D4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A6091">
        <w:rPr>
          <w:rFonts w:ascii="Times New Roman" w:hAnsi="Times New Roman" w:cs="Times New Roman"/>
          <w:sz w:val="23"/>
          <w:szCs w:val="23"/>
        </w:rPr>
        <w:t xml:space="preserve">Dz.U.72.13.93 w sprawie bezpieczeństwa i higieny pracy przy wykonywaniu robót budowlano - montażowych i rozbiórkowych </w:t>
      </w:r>
    </w:p>
    <w:p w14:paraId="0A19770C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A6091">
        <w:rPr>
          <w:rFonts w:ascii="Times New Roman" w:hAnsi="Times New Roman" w:cs="Times New Roman"/>
          <w:sz w:val="23"/>
          <w:szCs w:val="23"/>
        </w:rPr>
        <w:t>Dz.U.98.21.1439 w sprawie ogłoszenia jednolitego tekstu ustawy Kodeks Pracy</w:t>
      </w:r>
    </w:p>
    <w:p w14:paraId="0DF8CC86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A6091">
        <w:rPr>
          <w:rFonts w:ascii="Times New Roman" w:hAnsi="Times New Roman" w:cs="Times New Roman"/>
          <w:sz w:val="23"/>
          <w:szCs w:val="23"/>
        </w:rPr>
        <w:t>Dz.U.98.79.513 w sprawie największych dopuszczalnych stężeń i natężeń czynników</w:t>
      </w:r>
    </w:p>
    <w:p w14:paraId="1CCAD6E5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A6091">
        <w:rPr>
          <w:rFonts w:ascii="Times New Roman" w:hAnsi="Times New Roman" w:cs="Times New Roman"/>
          <w:sz w:val="23"/>
          <w:szCs w:val="23"/>
        </w:rPr>
        <w:t>Dz.U.99.80.912 w sprawie BHP przy urządzeniach i instalacjach energetycznych</w:t>
      </w:r>
    </w:p>
    <w:p w14:paraId="2CA2DB18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A6091">
        <w:rPr>
          <w:rFonts w:ascii="Times New Roman" w:hAnsi="Times New Roman" w:cs="Times New Roman"/>
          <w:sz w:val="23"/>
          <w:szCs w:val="23"/>
        </w:rPr>
        <w:t>Dz.U.00.26.313 w sprawie BHP przy ręcznych pracach transportowych</w:t>
      </w:r>
    </w:p>
    <w:p w14:paraId="7EBC01A1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hAnsi="Times New Roman" w:cs="Times New Roman"/>
          <w:sz w:val="23"/>
          <w:szCs w:val="23"/>
        </w:rPr>
        <w:t>Dz.U.96.60.279 w sprawie profilaktycznych posiłków i napojów</w:t>
      </w:r>
    </w:p>
    <w:p w14:paraId="0D977C7F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N SEP-E-003. Elektroenergetyczne linie napowietrzne. Projektowanie i budowa. Linie prądu przemiennego z przewodami pełnoizolowanymi oraz z przewodami niepełnoizolowanymi.</w:t>
      </w:r>
    </w:p>
    <w:p w14:paraId="078FC31F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N SEP-E-004 Elektroenergetyczne i sygnalizacyjne linie kablowe Projektowanie i budowa.</w:t>
      </w:r>
    </w:p>
    <w:p w14:paraId="313D2B78" w14:textId="77777777" w:rsidR="00F13CBF" w:rsidRPr="008A6091" w:rsidRDefault="00F13CBF" w:rsidP="008F26D7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8A6091">
        <w:rPr>
          <w:rFonts w:ascii="Times New Roman" w:eastAsia="Arial" w:hAnsi="Times New Roman" w:cs="Times New Roman"/>
          <w:sz w:val="23"/>
          <w:szCs w:val="23"/>
        </w:rPr>
        <w:t>PN-EN 13201:2016 – Oświetlenie dróg</w:t>
      </w:r>
    </w:p>
    <w:p w14:paraId="28840866" w14:textId="77777777" w:rsidR="00F55C93" w:rsidRDefault="00F55C93" w:rsidP="0074543E">
      <w:pPr>
        <w:autoSpaceDE w:val="0"/>
        <w:spacing w:after="0" w:line="276" w:lineRule="auto"/>
        <w:jc w:val="both"/>
        <w:rPr>
          <w:rFonts w:eastAsia="Arial" w:cs="Arial"/>
          <w:sz w:val="24"/>
          <w:szCs w:val="24"/>
        </w:rPr>
      </w:pPr>
    </w:p>
    <w:p w14:paraId="6C42FB62" w14:textId="77777777" w:rsidR="00F55C93" w:rsidRDefault="00F55C93" w:rsidP="0074543E">
      <w:pPr>
        <w:autoSpaceDE w:val="0"/>
        <w:spacing w:after="0" w:line="276" w:lineRule="auto"/>
        <w:jc w:val="both"/>
        <w:rPr>
          <w:rFonts w:eastAsia="Arial" w:cs="Arial"/>
          <w:sz w:val="24"/>
          <w:szCs w:val="24"/>
        </w:rPr>
      </w:pPr>
    </w:p>
    <w:p w14:paraId="60B2BFA2" w14:textId="77777777" w:rsidR="00F55C93" w:rsidRDefault="00F55C93" w:rsidP="0074543E">
      <w:pPr>
        <w:autoSpaceDE w:val="0"/>
        <w:spacing w:after="0" w:line="276" w:lineRule="auto"/>
        <w:jc w:val="both"/>
        <w:rPr>
          <w:rFonts w:eastAsia="Arial" w:cs="Arial"/>
          <w:sz w:val="24"/>
          <w:szCs w:val="24"/>
        </w:rPr>
      </w:pPr>
    </w:p>
    <w:p w14:paraId="58AF6D94" w14:textId="77777777" w:rsidR="00F55C93" w:rsidRPr="003105BC" w:rsidRDefault="00F55C93" w:rsidP="0074543E">
      <w:pPr>
        <w:autoSpaceDE w:val="0"/>
        <w:spacing w:after="0" w:line="276" w:lineRule="auto"/>
        <w:jc w:val="both"/>
        <w:rPr>
          <w:rFonts w:eastAsia="Arial" w:cs="Arial"/>
          <w:b/>
          <w:bCs/>
          <w:sz w:val="24"/>
          <w:szCs w:val="24"/>
        </w:rPr>
      </w:pPr>
    </w:p>
    <w:sectPr w:rsidR="00F55C93" w:rsidRPr="003105BC">
      <w:footerReference w:type="default" r:id="rId10"/>
      <w:pgSz w:w="11906" w:h="16838"/>
      <w:pgMar w:top="645" w:right="1417" w:bottom="1970" w:left="1417" w:header="708" w:footer="1418" w:gutter="0"/>
      <w:cols w:space="708"/>
      <w:docGrid w:linePitch="36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6D53A" w14:textId="77777777" w:rsidR="00490DC0" w:rsidRDefault="00490DC0">
      <w:pPr>
        <w:spacing w:after="0" w:line="240" w:lineRule="auto"/>
      </w:pPr>
      <w:r>
        <w:separator/>
      </w:r>
    </w:p>
  </w:endnote>
  <w:endnote w:type="continuationSeparator" w:id="0">
    <w:p w14:paraId="4CC9E46D" w14:textId="77777777" w:rsidR="00490DC0" w:rsidRDefault="0049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B04F6" w14:textId="77777777" w:rsidR="008A5D4D" w:rsidRDefault="008A5D4D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E5303" w14:textId="77777777" w:rsidR="00490DC0" w:rsidRDefault="00490DC0">
      <w:pPr>
        <w:spacing w:after="0" w:line="240" w:lineRule="auto"/>
      </w:pPr>
      <w:r>
        <w:separator/>
      </w:r>
    </w:p>
  </w:footnote>
  <w:footnote w:type="continuationSeparator" w:id="0">
    <w:p w14:paraId="18669FE1" w14:textId="77777777" w:rsidR="00490DC0" w:rsidRDefault="00490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1176BDB"/>
    <w:multiLevelType w:val="hybridMultilevel"/>
    <w:tmpl w:val="F724D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7024C"/>
    <w:multiLevelType w:val="hybridMultilevel"/>
    <w:tmpl w:val="9982B830"/>
    <w:lvl w:ilvl="0" w:tplc="F18406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C4F74"/>
    <w:multiLevelType w:val="hybridMultilevel"/>
    <w:tmpl w:val="FE98A222"/>
    <w:lvl w:ilvl="0" w:tplc="66B8F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A3FC7"/>
    <w:multiLevelType w:val="multilevel"/>
    <w:tmpl w:val="E250A0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4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7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3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4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688" w:hanging="1800"/>
      </w:pPr>
      <w:rPr>
        <w:rFonts w:hint="default"/>
        <w:b/>
      </w:rPr>
    </w:lvl>
  </w:abstractNum>
  <w:abstractNum w:abstractNumId="5" w15:restartNumberingAfterBreak="0">
    <w:nsid w:val="08FA05FE"/>
    <w:multiLevelType w:val="hybridMultilevel"/>
    <w:tmpl w:val="25DE1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50FBD"/>
    <w:multiLevelType w:val="hybridMultilevel"/>
    <w:tmpl w:val="9872E87A"/>
    <w:lvl w:ilvl="0" w:tplc="F1840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20A57"/>
    <w:multiLevelType w:val="hybridMultilevel"/>
    <w:tmpl w:val="98101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03A18"/>
    <w:multiLevelType w:val="multilevel"/>
    <w:tmpl w:val="88ACA2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C1304E3"/>
    <w:multiLevelType w:val="hybridMultilevel"/>
    <w:tmpl w:val="708E8BA8"/>
    <w:lvl w:ilvl="0" w:tplc="F1840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431F5"/>
    <w:multiLevelType w:val="multilevel"/>
    <w:tmpl w:val="7F72C176"/>
    <w:lvl w:ilvl="0">
      <w:start w:val="2"/>
      <w:numFmt w:val="decimal"/>
      <w:lvlText w:val="%1."/>
      <w:lvlJc w:val="left"/>
      <w:pPr>
        <w:ind w:left="540" w:hanging="540"/>
      </w:pPr>
      <w:rPr>
        <w:rFonts w:eastAsia="Arial" w:hint="default"/>
        <w:b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eastAsia="Arial"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/>
      </w:rPr>
    </w:lvl>
  </w:abstractNum>
  <w:abstractNum w:abstractNumId="11" w15:restartNumberingAfterBreak="0">
    <w:nsid w:val="33D52C5F"/>
    <w:multiLevelType w:val="multilevel"/>
    <w:tmpl w:val="D44299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4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7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3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4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688" w:hanging="1800"/>
      </w:pPr>
      <w:rPr>
        <w:rFonts w:hint="default"/>
        <w:b/>
      </w:rPr>
    </w:lvl>
  </w:abstractNum>
  <w:abstractNum w:abstractNumId="12" w15:restartNumberingAfterBreak="0">
    <w:nsid w:val="392753DA"/>
    <w:multiLevelType w:val="multilevel"/>
    <w:tmpl w:val="4C0CD37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3A5F0189"/>
    <w:multiLevelType w:val="hybridMultilevel"/>
    <w:tmpl w:val="23CCC1A8"/>
    <w:lvl w:ilvl="0" w:tplc="F1840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5571B"/>
    <w:multiLevelType w:val="hybridMultilevel"/>
    <w:tmpl w:val="F482C00C"/>
    <w:lvl w:ilvl="0" w:tplc="85E04D9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36" w:hanging="360"/>
      </w:pPr>
      <w:rPr>
        <w:rFonts w:ascii="Wingdings" w:hAnsi="Wingdings" w:hint="default"/>
      </w:rPr>
    </w:lvl>
  </w:abstractNum>
  <w:abstractNum w:abstractNumId="15" w15:restartNumberingAfterBreak="0">
    <w:nsid w:val="402F061F"/>
    <w:multiLevelType w:val="hybridMultilevel"/>
    <w:tmpl w:val="8466E23A"/>
    <w:lvl w:ilvl="0" w:tplc="F1840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60BEBC">
      <w:numFmt w:val="bullet"/>
      <w:lvlText w:val="•"/>
      <w:lvlJc w:val="left"/>
      <w:pPr>
        <w:ind w:left="1785" w:hanging="705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B3C33"/>
    <w:multiLevelType w:val="hybridMultilevel"/>
    <w:tmpl w:val="568E210C"/>
    <w:lvl w:ilvl="0" w:tplc="F18406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9034B1"/>
    <w:multiLevelType w:val="hybridMultilevel"/>
    <w:tmpl w:val="71286AFC"/>
    <w:lvl w:ilvl="0" w:tplc="F18406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18406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AA212A"/>
    <w:multiLevelType w:val="hybridMultilevel"/>
    <w:tmpl w:val="0A5A7B80"/>
    <w:lvl w:ilvl="0" w:tplc="B0CAC60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0927F5"/>
    <w:multiLevelType w:val="multilevel"/>
    <w:tmpl w:val="C26AFA0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3244A5"/>
    <w:multiLevelType w:val="hybridMultilevel"/>
    <w:tmpl w:val="D7009D86"/>
    <w:lvl w:ilvl="0" w:tplc="F1840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D7C84"/>
    <w:multiLevelType w:val="hybridMultilevel"/>
    <w:tmpl w:val="6FEC17F8"/>
    <w:lvl w:ilvl="0" w:tplc="F1840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E93E69"/>
    <w:multiLevelType w:val="multilevel"/>
    <w:tmpl w:val="E622436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0E5A98"/>
    <w:multiLevelType w:val="hybridMultilevel"/>
    <w:tmpl w:val="8FDED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6F0242"/>
    <w:multiLevelType w:val="hybridMultilevel"/>
    <w:tmpl w:val="1BA00D0A"/>
    <w:lvl w:ilvl="0" w:tplc="F1840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A7441"/>
    <w:multiLevelType w:val="hybridMultilevel"/>
    <w:tmpl w:val="308A74E2"/>
    <w:lvl w:ilvl="0" w:tplc="F18406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DA592D"/>
    <w:multiLevelType w:val="hybridMultilevel"/>
    <w:tmpl w:val="64E8794C"/>
    <w:lvl w:ilvl="0" w:tplc="DCF66F7E">
      <w:start w:val="1"/>
      <w:numFmt w:val="lowerLetter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6A94247E">
      <w:start w:val="1"/>
      <w:numFmt w:val="upperRoman"/>
      <w:lvlText w:val="%2."/>
      <w:lvlJc w:val="left"/>
      <w:pPr>
        <w:ind w:left="1185" w:hanging="46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39492021">
    <w:abstractNumId w:val="0"/>
  </w:num>
  <w:num w:numId="2" w16cid:durableId="1069226890">
    <w:abstractNumId w:val="26"/>
  </w:num>
  <w:num w:numId="3" w16cid:durableId="640505506">
    <w:abstractNumId w:val="12"/>
  </w:num>
  <w:num w:numId="4" w16cid:durableId="1563247563">
    <w:abstractNumId w:val="8"/>
  </w:num>
  <w:num w:numId="5" w16cid:durableId="406153415">
    <w:abstractNumId w:val="22"/>
  </w:num>
  <w:num w:numId="6" w16cid:durableId="1724401879">
    <w:abstractNumId w:val="19"/>
  </w:num>
  <w:num w:numId="7" w16cid:durableId="903641199">
    <w:abstractNumId w:val="20"/>
  </w:num>
  <w:num w:numId="8" w16cid:durableId="147093930">
    <w:abstractNumId w:val="15"/>
  </w:num>
  <w:num w:numId="9" w16cid:durableId="1284386158">
    <w:abstractNumId w:val="2"/>
  </w:num>
  <w:num w:numId="10" w16cid:durableId="86468911">
    <w:abstractNumId w:val="25"/>
  </w:num>
  <w:num w:numId="11" w16cid:durableId="70546645">
    <w:abstractNumId w:val="11"/>
  </w:num>
  <w:num w:numId="12" w16cid:durableId="1699239916">
    <w:abstractNumId w:val="10"/>
  </w:num>
  <w:num w:numId="13" w16cid:durableId="934552985">
    <w:abstractNumId w:val="16"/>
  </w:num>
  <w:num w:numId="14" w16cid:durableId="352726314">
    <w:abstractNumId w:val="17"/>
  </w:num>
  <w:num w:numId="15" w16cid:durableId="101650468">
    <w:abstractNumId w:val="14"/>
  </w:num>
  <w:num w:numId="16" w16cid:durableId="1579318422">
    <w:abstractNumId w:val="18"/>
  </w:num>
  <w:num w:numId="17" w16cid:durableId="1558777796">
    <w:abstractNumId w:val="3"/>
  </w:num>
  <w:num w:numId="18" w16cid:durableId="1863979132">
    <w:abstractNumId w:val="4"/>
  </w:num>
  <w:num w:numId="19" w16cid:durableId="1022433179">
    <w:abstractNumId w:val="23"/>
  </w:num>
  <w:num w:numId="20" w16cid:durableId="1511604494">
    <w:abstractNumId w:val="5"/>
  </w:num>
  <w:num w:numId="21" w16cid:durableId="1978564177">
    <w:abstractNumId w:val="6"/>
  </w:num>
  <w:num w:numId="22" w16cid:durableId="566646811">
    <w:abstractNumId w:val="21"/>
  </w:num>
  <w:num w:numId="23" w16cid:durableId="309792442">
    <w:abstractNumId w:val="13"/>
  </w:num>
  <w:num w:numId="24" w16cid:durableId="789974454">
    <w:abstractNumId w:val="9"/>
  </w:num>
  <w:num w:numId="25" w16cid:durableId="693456854">
    <w:abstractNumId w:val="7"/>
  </w:num>
  <w:num w:numId="26" w16cid:durableId="707802962">
    <w:abstractNumId w:val="1"/>
  </w:num>
  <w:num w:numId="27" w16cid:durableId="1234049292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D4"/>
    <w:rsid w:val="0003309B"/>
    <w:rsid w:val="00067295"/>
    <w:rsid w:val="00081396"/>
    <w:rsid w:val="0008216D"/>
    <w:rsid w:val="000E419E"/>
    <w:rsid w:val="000F22FE"/>
    <w:rsid w:val="000F2689"/>
    <w:rsid w:val="000F4603"/>
    <w:rsid w:val="000F7576"/>
    <w:rsid w:val="001219BD"/>
    <w:rsid w:val="00121EDC"/>
    <w:rsid w:val="00170012"/>
    <w:rsid w:val="001B0DDB"/>
    <w:rsid w:val="001B676D"/>
    <w:rsid w:val="001D22E4"/>
    <w:rsid w:val="001E1753"/>
    <w:rsid w:val="001E6B03"/>
    <w:rsid w:val="002406FE"/>
    <w:rsid w:val="00243CF5"/>
    <w:rsid w:val="002521B5"/>
    <w:rsid w:val="00292DDF"/>
    <w:rsid w:val="002E6D25"/>
    <w:rsid w:val="003105BC"/>
    <w:rsid w:val="00346523"/>
    <w:rsid w:val="00387BDD"/>
    <w:rsid w:val="003A52C8"/>
    <w:rsid w:val="003A5B79"/>
    <w:rsid w:val="003B7F45"/>
    <w:rsid w:val="004119E8"/>
    <w:rsid w:val="00443F9B"/>
    <w:rsid w:val="0044746A"/>
    <w:rsid w:val="00452C71"/>
    <w:rsid w:val="00490DC0"/>
    <w:rsid w:val="00495F41"/>
    <w:rsid w:val="004C00BD"/>
    <w:rsid w:val="004D3EC8"/>
    <w:rsid w:val="005157BD"/>
    <w:rsid w:val="005426DF"/>
    <w:rsid w:val="00580775"/>
    <w:rsid w:val="005B73E5"/>
    <w:rsid w:val="005D1C6B"/>
    <w:rsid w:val="00604B12"/>
    <w:rsid w:val="006053AC"/>
    <w:rsid w:val="006316BA"/>
    <w:rsid w:val="00641AAF"/>
    <w:rsid w:val="0065573B"/>
    <w:rsid w:val="006563C6"/>
    <w:rsid w:val="0066005E"/>
    <w:rsid w:val="006711D9"/>
    <w:rsid w:val="006A10B3"/>
    <w:rsid w:val="006D20D2"/>
    <w:rsid w:val="00726242"/>
    <w:rsid w:val="0074543E"/>
    <w:rsid w:val="00757296"/>
    <w:rsid w:val="00765509"/>
    <w:rsid w:val="00767696"/>
    <w:rsid w:val="0077601A"/>
    <w:rsid w:val="007A1715"/>
    <w:rsid w:val="007A4C0B"/>
    <w:rsid w:val="007B1A8F"/>
    <w:rsid w:val="007B65EE"/>
    <w:rsid w:val="007B6944"/>
    <w:rsid w:val="007D050D"/>
    <w:rsid w:val="00840A75"/>
    <w:rsid w:val="00844A03"/>
    <w:rsid w:val="008842D2"/>
    <w:rsid w:val="008A3AD4"/>
    <w:rsid w:val="008A5D4D"/>
    <w:rsid w:val="008C3AFE"/>
    <w:rsid w:val="008D57B4"/>
    <w:rsid w:val="008F26D7"/>
    <w:rsid w:val="008F4509"/>
    <w:rsid w:val="009461D3"/>
    <w:rsid w:val="00953B45"/>
    <w:rsid w:val="009B7BE9"/>
    <w:rsid w:val="00A47269"/>
    <w:rsid w:val="00AB3B25"/>
    <w:rsid w:val="00AB48B4"/>
    <w:rsid w:val="00AB7094"/>
    <w:rsid w:val="00AF6732"/>
    <w:rsid w:val="00B12260"/>
    <w:rsid w:val="00B555FC"/>
    <w:rsid w:val="00B748BD"/>
    <w:rsid w:val="00BA02D5"/>
    <w:rsid w:val="00BB1C21"/>
    <w:rsid w:val="00BD3DF4"/>
    <w:rsid w:val="00C050BE"/>
    <w:rsid w:val="00C561E6"/>
    <w:rsid w:val="00C64F15"/>
    <w:rsid w:val="00C777AB"/>
    <w:rsid w:val="00C81E93"/>
    <w:rsid w:val="00C8278D"/>
    <w:rsid w:val="00D7713C"/>
    <w:rsid w:val="00D810A3"/>
    <w:rsid w:val="00D916EA"/>
    <w:rsid w:val="00DD717B"/>
    <w:rsid w:val="00E266E0"/>
    <w:rsid w:val="00E27C2A"/>
    <w:rsid w:val="00E343EA"/>
    <w:rsid w:val="00E423DA"/>
    <w:rsid w:val="00E66C4B"/>
    <w:rsid w:val="00E749A8"/>
    <w:rsid w:val="00EE089F"/>
    <w:rsid w:val="00EF44AC"/>
    <w:rsid w:val="00F13CBF"/>
    <w:rsid w:val="00F52828"/>
    <w:rsid w:val="00F55C93"/>
    <w:rsid w:val="00FA0E12"/>
    <w:rsid w:val="00FC26CE"/>
    <w:rsid w:val="00FC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BD4E4A"/>
  <w15:chartTrackingRefBased/>
  <w15:docId w15:val="{6384F4BB-2FF8-4B3D-8CE8-8357EF9E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agwek1">
    <w:name w:val="heading 1"/>
    <w:basedOn w:val="Nagwek10"/>
    <w:next w:val="Tekstpodstawowy"/>
    <w:qFormat/>
    <w:pPr>
      <w:outlineLvl w:val="0"/>
    </w:pPr>
    <w:rPr>
      <w:rFonts w:ascii="Times New Roman" w:eastAsia="Arial Unicode MS" w:hAnsi="Times New Roman" w:cs="Tahoma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52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agwek10"/>
    <w:next w:val="Tekstpodstawowy"/>
    <w:qFormat/>
    <w:pPr>
      <w:outlineLvl w:val="2"/>
    </w:pPr>
    <w:rPr>
      <w:rFonts w:ascii="Times New Roman" w:eastAsia="Arial Unicode MS" w:hAnsi="Times New Roman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Numerwiersza">
    <w:name w:val="line number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Default">
    <w:name w:val="Default"/>
    <w:pPr>
      <w:suppressAutoHyphens/>
      <w:spacing w:line="100" w:lineRule="atLeast"/>
    </w:pPr>
    <w:rPr>
      <w:rFonts w:ascii="Arial" w:eastAsia="SimSun" w:hAnsi="Arial" w:cs="Arial"/>
      <w:color w:val="000000"/>
      <w:kern w:val="1"/>
      <w:sz w:val="24"/>
      <w:szCs w:val="24"/>
      <w:lang w:eastAsia="ar-SA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">
    <w:name w:val="Standard"/>
    <w:rsid w:val="008A3AD4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8A3AD4"/>
    <w:pPr>
      <w:suppressAutoHyphens w:val="0"/>
      <w:autoSpaceDN w:val="0"/>
      <w:spacing w:after="200" w:line="276" w:lineRule="auto"/>
      <w:ind w:left="720"/>
    </w:pPr>
    <w:rPr>
      <w:rFonts w:eastAsia="Calibri" w:cs="Times New Roman"/>
      <w:kern w:val="0"/>
      <w:lang w:eastAsia="en-US"/>
    </w:rPr>
  </w:style>
  <w:style w:type="character" w:customStyle="1" w:styleId="object">
    <w:name w:val="object"/>
    <w:rsid w:val="00767696"/>
  </w:style>
  <w:style w:type="character" w:customStyle="1" w:styleId="AkapitzlistZnak">
    <w:name w:val="Akapit z listą Znak"/>
    <w:link w:val="Akapitzlist"/>
    <w:uiPriority w:val="99"/>
    <w:locked/>
    <w:rsid w:val="00B555FC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B555FC"/>
    <w:pPr>
      <w:suppressAutoHyphens w:val="0"/>
      <w:spacing w:after="200" w:line="276" w:lineRule="auto"/>
      <w:ind w:left="720"/>
    </w:pPr>
    <w:rPr>
      <w:rFonts w:eastAsia="Times New Roman"/>
      <w:kern w:val="0"/>
      <w:lang w:eastAsia="en-US"/>
    </w:rPr>
  </w:style>
  <w:style w:type="paragraph" w:customStyle="1" w:styleId="Tekstpodstawowy21">
    <w:name w:val="Tekst podstawowy 21"/>
    <w:basedOn w:val="Normalny"/>
    <w:uiPriority w:val="99"/>
    <w:rsid w:val="00AF673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6E0"/>
    <w:rPr>
      <w:rFonts w:ascii="Tahoma" w:eastAsia="SimSun" w:hAnsi="Tahoma" w:cs="Tahoma"/>
      <w:kern w:val="1"/>
      <w:sz w:val="16"/>
      <w:szCs w:val="16"/>
      <w:lang w:eastAsia="ar-SA"/>
    </w:rPr>
  </w:style>
  <w:style w:type="table" w:styleId="Tabela-Siatka">
    <w:name w:val="Table Grid"/>
    <w:basedOn w:val="Standardowy"/>
    <w:uiPriority w:val="39"/>
    <w:rsid w:val="005B73E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5257"/>
    <w:rPr>
      <w:rFonts w:asciiTheme="majorHAnsi" w:eastAsiaTheme="majorEastAsia" w:hAnsiTheme="majorHAnsi" w:cstheme="majorBidi"/>
      <w:color w:val="0F4761" w:themeColor="accent1" w:themeShade="BF"/>
      <w:kern w:val="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4992</Words>
  <Characters>29956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Dziegielowska</dc:creator>
  <cp:keywords/>
  <cp:lastModifiedBy>eg529</cp:lastModifiedBy>
  <cp:revision>5</cp:revision>
  <cp:lastPrinted>2021-08-03T10:13:00Z</cp:lastPrinted>
  <dcterms:created xsi:type="dcterms:W3CDTF">2024-08-27T10:20:00Z</dcterms:created>
  <dcterms:modified xsi:type="dcterms:W3CDTF">2024-08-28T09:43:00Z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